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29F81" w14:textId="5E1AE6A3" w:rsidR="00514497" w:rsidRPr="00EC7980" w:rsidRDefault="003D6520" w:rsidP="00651614">
      <w:pPr>
        <w:jc w:val="center"/>
        <w:rPr>
          <w:rFonts w:ascii="Arial" w:hAnsi="Arial" w:cs="Arial"/>
          <w:b/>
          <w:bCs/>
          <w:sz w:val="24"/>
          <w:szCs w:val="24"/>
        </w:rPr>
      </w:pPr>
      <w:r>
        <w:rPr>
          <w:rFonts w:ascii="Arial" w:hAnsi="Arial" w:cs="Arial"/>
          <w:b/>
          <w:bCs/>
          <w:sz w:val="24"/>
          <w:szCs w:val="24"/>
        </w:rPr>
        <w:t xml:space="preserve">………………… </w:t>
      </w:r>
      <w:r w:rsidRPr="003D6520">
        <w:rPr>
          <w:rFonts w:ascii="Arial" w:hAnsi="Arial" w:cs="Arial"/>
          <w:b/>
          <w:bCs/>
          <w:sz w:val="24"/>
          <w:szCs w:val="24"/>
        </w:rPr>
        <w:t xml:space="preserve">Doktora Program Bilgi Paketi Tanıtım </w:t>
      </w:r>
      <w:proofErr w:type="spellStart"/>
      <w:r w:rsidRPr="003D6520">
        <w:rPr>
          <w:rFonts w:ascii="Arial" w:hAnsi="Arial" w:cs="Arial"/>
          <w:b/>
          <w:bCs/>
          <w:sz w:val="24"/>
          <w:szCs w:val="24"/>
        </w:rPr>
        <w:t>Sayfası_Türkçe</w:t>
      </w:r>
      <w:proofErr w:type="spellEnd"/>
    </w:p>
    <w:tbl>
      <w:tblPr>
        <w:tblW w:w="10774" w:type="dxa"/>
        <w:tblCellSpacing w:w="1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774"/>
      </w:tblGrid>
      <w:tr w:rsidR="00651614" w:rsidRPr="00EC7980" w14:paraId="6681CE5E" w14:textId="77777777" w:rsidTr="008B5E2A">
        <w:trPr>
          <w:trHeight w:val="150"/>
          <w:tblCellSpacing w:w="15" w:type="dxa"/>
        </w:trPr>
        <w:tc>
          <w:tcPr>
            <w:tcW w:w="10714" w:type="dxa"/>
            <w:vAlign w:val="center"/>
            <w:hideMark/>
          </w:tcPr>
          <w:p w14:paraId="65D677DD" w14:textId="77777777" w:rsidR="00651614" w:rsidRPr="00947878" w:rsidRDefault="00651614" w:rsidP="00D74F6E">
            <w:pPr>
              <w:ind w:left="76" w:right="149"/>
              <w:rPr>
                <w:rFonts w:ascii="Arial" w:hAnsi="Arial" w:cs="Arial"/>
                <w:b/>
                <w:bCs/>
                <w:sz w:val="28"/>
                <w:szCs w:val="28"/>
              </w:rPr>
            </w:pPr>
            <w:r w:rsidRPr="00947878">
              <w:rPr>
                <w:rFonts w:ascii="Arial" w:hAnsi="Arial" w:cs="Arial"/>
                <w:b/>
                <w:bCs/>
                <w:sz w:val="28"/>
                <w:szCs w:val="28"/>
              </w:rPr>
              <w:t>Kuruluş</w:t>
            </w:r>
          </w:p>
          <w:p w14:paraId="160D2F0F" w14:textId="77777777" w:rsidR="00651614" w:rsidRPr="00EC7980" w:rsidRDefault="00651614" w:rsidP="00D74F6E">
            <w:pPr>
              <w:ind w:left="76" w:right="149"/>
              <w:rPr>
                <w:rFonts w:ascii="Arial" w:hAnsi="Arial" w:cs="Arial"/>
                <w:color w:val="FF0000"/>
                <w:sz w:val="24"/>
                <w:szCs w:val="24"/>
              </w:rPr>
            </w:pPr>
            <w:r w:rsidRPr="00EC7980">
              <w:rPr>
                <w:rFonts w:ascii="Arial" w:hAnsi="Arial" w:cs="Arial"/>
                <w:color w:val="FF0000"/>
                <w:sz w:val="24"/>
                <w:szCs w:val="24"/>
              </w:rPr>
              <w:t>Anabilim Dalı Tarafından Doldurulacak  </w:t>
            </w:r>
          </w:p>
          <w:p w14:paraId="6FC1525E" w14:textId="4709DD8B" w:rsidR="00341941" w:rsidRPr="00EC7980" w:rsidRDefault="00C875F4" w:rsidP="000A529D">
            <w:pPr>
              <w:ind w:left="76" w:right="149"/>
              <w:rPr>
                <w:rFonts w:ascii="Arial" w:hAnsi="Arial" w:cs="Arial"/>
                <w:sz w:val="24"/>
                <w:szCs w:val="24"/>
              </w:rPr>
            </w:pPr>
            <w:r w:rsidRPr="008B59DE">
              <w:rPr>
                <w:rFonts w:ascii="Arial" w:hAnsi="Arial" w:cs="Arial"/>
                <w:color w:val="FF0000"/>
              </w:rPr>
              <w:t>“Programın tarihçesi ve alt alanlarını içermeli”</w:t>
            </w:r>
          </w:p>
        </w:tc>
      </w:tr>
      <w:tr w:rsidR="00112219" w:rsidRPr="00EC7980" w14:paraId="796ADD5C" w14:textId="77777777" w:rsidTr="008B5E2A">
        <w:trPr>
          <w:trHeight w:val="150"/>
          <w:tblCellSpacing w:w="15" w:type="dxa"/>
        </w:trPr>
        <w:tc>
          <w:tcPr>
            <w:tcW w:w="10714" w:type="dxa"/>
            <w:vAlign w:val="center"/>
          </w:tcPr>
          <w:p w14:paraId="7844E2C1" w14:textId="5B19A261" w:rsidR="00112219" w:rsidRPr="00947878" w:rsidRDefault="00112219" w:rsidP="00112219">
            <w:pPr>
              <w:ind w:left="76" w:right="149"/>
              <w:rPr>
                <w:rFonts w:ascii="Arial" w:hAnsi="Arial" w:cs="Arial"/>
                <w:color w:val="FF0000"/>
                <w:sz w:val="28"/>
                <w:szCs w:val="28"/>
              </w:rPr>
            </w:pPr>
            <w:r w:rsidRPr="00947878">
              <w:rPr>
                <w:rFonts w:ascii="Arial" w:hAnsi="Arial" w:cs="Arial"/>
                <w:b/>
                <w:bCs/>
                <w:sz w:val="28"/>
                <w:szCs w:val="28"/>
              </w:rPr>
              <w:t>Programın Amacı</w:t>
            </w:r>
          </w:p>
          <w:p w14:paraId="6E74298C" w14:textId="05BBFE87" w:rsidR="00112219" w:rsidRPr="00EC7980" w:rsidRDefault="00112219" w:rsidP="00112219">
            <w:pPr>
              <w:ind w:left="76" w:right="149"/>
              <w:rPr>
                <w:rFonts w:ascii="Arial" w:hAnsi="Arial" w:cs="Arial"/>
                <w:b/>
                <w:bCs/>
                <w:sz w:val="24"/>
                <w:szCs w:val="24"/>
              </w:rPr>
            </w:pPr>
            <w:r w:rsidRPr="00EC7980">
              <w:rPr>
                <w:rFonts w:ascii="Arial" w:hAnsi="Arial" w:cs="Arial"/>
                <w:color w:val="FF0000"/>
                <w:sz w:val="24"/>
                <w:szCs w:val="24"/>
              </w:rPr>
              <w:t>Anabilim Dalı Tarafından Doldurulacak  </w:t>
            </w:r>
          </w:p>
        </w:tc>
      </w:tr>
      <w:tr w:rsidR="00651614" w:rsidRPr="00EC7980" w14:paraId="46E62696" w14:textId="77777777" w:rsidTr="008B5E2A">
        <w:trPr>
          <w:trHeight w:val="150"/>
          <w:tblCellSpacing w:w="15" w:type="dxa"/>
        </w:trPr>
        <w:tc>
          <w:tcPr>
            <w:tcW w:w="10714" w:type="dxa"/>
            <w:vAlign w:val="center"/>
            <w:hideMark/>
          </w:tcPr>
          <w:p w14:paraId="1CD6CD7C" w14:textId="7E1B4C14" w:rsidR="00651614" w:rsidRPr="00947878" w:rsidRDefault="00651614" w:rsidP="00D74F6E">
            <w:pPr>
              <w:ind w:left="76" w:right="149"/>
              <w:rPr>
                <w:rFonts w:ascii="Arial" w:hAnsi="Arial" w:cs="Arial"/>
                <w:b/>
                <w:bCs/>
                <w:sz w:val="28"/>
                <w:szCs w:val="28"/>
              </w:rPr>
            </w:pPr>
            <w:r w:rsidRPr="00947878">
              <w:rPr>
                <w:rFonts w:ascii="Arial" w:hAnsi="Arial" w:cs="Arial"/>
                <w:b/>
                <w:bCs/>
                <w:sz w:val="28"/>
                <w:szCs w:val="28"/>
              </w:rPr>
              <w:t>Kazanılan</w:t>
            </w:r>
            <w:r w:rsidR="00D051F4" w:rsidRPr="00947878">
              <w:rPr>
                <w:rFonts w:ascii="Arial" w:hAnsi="Arial" w:cs="Arial"/>
                <w:b/>
                <w:bCs/>
                <w:sz w:val="28"/>
                <w:szCs w:val="28"/>
              </w:rPr>
              <w:t xml:space="preserve"> </w:t>
            </w:r>
            <w:proofErr w:type="gramStart"/>
            <w:r w:rsidR="00D051F4" w:rsidRPr="00947878">
              <w:rPr>
                <w:rFonts w:ascii="Arial" w:hAnsi="Arial" w:cs="Arial"/>
                <w:b/>
                <w:bCs/>
                <w:sz w:val="28"/>
                <w:szCs w:val="28"/>
              </w:rPr>
              <w:t>Derece</w:t>
            </w:r>
            <w:proofErr w:type="gramEnd"/>
          </w:p>
          <w:p w14:paraId="7795BFA5" w14:textId="77777777" w:rsidR="00651614" w:rsidRPr="00EC7980" w:rsidRDefault="00651614" w:rsidP="00D74F6E">
            <w:pPr>
              <w:ind w:left="76" w:right="149"/>
              <w:rPr>
                <w:rFonts w:ascii="Arial" w:hAnsi="Arial" w:cs="Arial"/>
                <w:sz w:val="24"/>
                <w:szCs w:val="24"/>
              </w:rPr>
            </w:pPr>
            <w:r w:rsidRPr="00EC7980">
              <w:rPr>
                <w:rFonts w:ascii="Arial" w:hAnsi="Arial" w:cs="Arial"/>
                <w:sz w:val="24"/>
                <w:szCs w:val="24"/>
              </w:rPr>
              <w:t>Doktora</w:t>
            </w:r>
          </w:p>
        </w:tc>
      </w:tr>
      <w:tr w:rsidR="00651614" w:rsidRPr="00EC7980" w14:paraId="05AB1172" w14:textId="77777777" w:rsidTr="008B5E2A">
        <w:trPr>
          <w:trHeight w:val="150"/>
          <w:tblCellSpacing w:w="15" w:type="dxa"/>
        </w:trPr>
        <w:tc>
          <w:tcPr>
            <w:tcW w:w="10714" w:type="dxa"/>
            <w:vAlign w:val="center"/>
            <w:hideMark/>
          </w:tcPr>
          <w:p w14:paraId="066315E6" w14:textId="77777777" w:rsidR="00651614" w:rsidRPr="00947878" w:rsidRDefault="00651614" w:rsidP="00D74F6E">
            <w:pPr>
              <w:ind w:left="76" w:right="149"/>
              <w:rPr>
                <w:rFonts w:ascii="Arial" w:hAnsi="Arial" w:cs="Arial"/>
                <w:sz w:val="28"/>
                <w:szCs w:val="28"/>
              </w:rPr>
            </w:pPr>
            <w:r w:rsidRPr="00947878">
              <w:rPr>
                <w:rFonts w:ascii="Arial" w:hAnsi="Arial" w:cs="Arial"/>
                <w:b/>
                <w:bCs/>
                <w:sz w:val="28"/>
                <w:szCs w:val="28"/>
              </w:rPr>
              <w:t>Derecenin Düzeyi</w:t>
            </w:r>
          </w:p>
          <w:p w14:paraId="224BBE05" w14:textId="73B4D37F" w:rsidR="00651614" w:rsidRPr="00EC7980" w:rsidRDefault="00651614" w:rsidP="00C34513">
            <w:pPr>
              <w:spacing w:after="120" w:line="240" w:lineRule="auto"/>
              <w:ind w:left="74" w:right="147"/>
              <w:rPr>
                <w:rFonts w:ascii="Arial" w:hAnsi="Arial" w:cs="Arial"/>
                <w:sz w:val="24"/>
                <w:szCs w:val="24"/>
              </w:rPr>
            </w:pPr>
            <w:r w:rsidRPr="00EC7980">
              <w:rPr>
                <w:rFonts w:ascii="Arial" w:hAnsi="Arial" w:cs="Arial"/>
                <w:sz w:val="24"/>
                <w:szCs w:val="24"/>
                <w:shd w:val="clear" w:color="auto" w:fill="FFFFFF"/>
              </w:rPr>
              <w:t>Avrupa Yükseköğretim Alanı Yeterlilikler Çerçevesi</w:t>
            </w:r>
            <w:r w:rsidRPr="00EC7980">
              <w:rPr>
                <w:rFonts w:ascii="Arial" w:hAnsi="Arial" w:cs="Arial"/>
                <w:sz w:val="24"/>
                <w:szCs w:val="24"/>
              </w:rPr>
              <w:t xml:space="preserve"> (AYA-YÇ), 3. Düzey</w:t>
            </w:r>
          </w:p>
          <w:p w14:paraId="4EC598C3" w14:textId="52CB3502" w:rsidR="00651614" w:rsidRPr="00EC7980" w:rsidRDefault="00651614" w:rsidP="00C34513">
            <w:pPr>
              <w:spacing w:after="120" w:line="240" w:lineRule="auto"/>
              <w:ind w:left="74" w:right="147"/>
              <w:rPr>
                <w:rFonts w:ascii="Arial" w:hAnsi="Arial" w:cs="Arial"/>
                <w:sz w:val="24"/>
                <w:szCs w:val="24"/>
              </w:rPr>
            </w:pPr>
            <w:r w:rsidRPr="00EC7980">
              <w:rPr>
                <w:rFonts w:ascii="Arial" w:hAnsi="Arial" w:cs="Arial"/>
                <w:sz w:val="24"/>
                <w:szCs w:val="24"/>
                <w:shd w:val="clear" w:color="auto" w:fill="FFFFFF"/>
              </w:rPr>
              <w:t>Avrupa Yeterlilikler Çerçevesi-</w:t>
            </w:r>
            <w:r w:rsidR="00F374B9">
              <w:rPr>
                <w:rFonts w:ascii="Arial" w:hAnsi="Arial" w:cs="Arial"/>
                <w:sz w:val="24"/>
                <w:szCs w:val="24"/>
                <w:shd w:val="clear" w:color="auto" w:fill="FFFFFF"/>
              </w:rPr>
              <w:t>Yaşam</w:t>
            </w:r>
            <w:r w:rsidRPr="00EC7980">
              <w:rPr>
                <w:rFonts w:ascii="Arial" w:hAnsi="Arial" w:cs="Arial"/>
                <w:sz w:val="24"/>
                <w:szCs w:val="24"/>
                <w:shd w:val="clear" w:color="auto" w:fill="FFFFFF"/>
              </w:rPr>
              <w:t xml:space="preserve"> Boyu Öğrenme</w:t>
            </w:r>
            <w:r w:rsidR="00443979">
              <w:rPr>
                <w:rFonts w:ascii="Arial" w:hAnsi="Arial" w:cs="Arial"/>
                <w:sz w:val="24"/>
                <w:szCs w:val="24"/>
                <w:shd w:val="clear" w:color="auto" w:fill="FFFFFF"/>
              </w:rPr>
              <w:t xml:space="preserve"> </w:t>
            </w:r>
            <w:r w:rsidRPr="00EC7980">
              <w:rPr>
                <w:rFonts w:ascii="Arial" w:hAnsi="Arial" w:cs="Arial"/>
                <w:sz w:val="24"/>
                <w:szCs w:val="24"/>
              </w:rPr>
              <w:t>(AYÇ-YBÖ), 8. Düzey</w:t>
            </w:r>
          </w:p>
          <w:p w14:paraId="1A1AD8E9" w14:textId="77777777" w:rsidR="00651614" w:rsidRPr="00EC7980" w:rsidRDefault="00651614" w:rsidP="00876324">
            <w:pPr>
              <w:spacing w:after="0" w:line="240" w:lineRule="auto"/>
              <w:ind w:right="149"/>
              <w:rPr>
                <w:rFonts w:ascii="Arial" w:hAnsi="Arial" w:cs="Arial"/>
                <w:sz w:val="24"/>
                <w:szCs w:val="24"/>
              </w:rPr>
            </w:pPr>
          </w:p>
          <w:p w14:paraId="13001825" w14:textId="77777777" w:rsidR="00651614" w:rsidRPr="00EC7980" w:rsidRDefault="00651614" w:rsidP="00D74F6E">
            <w:pPr>
              <w:ind w:left="76" w:right="149"/>
              <w:rPr>
                <w:rFonts w:ascii="Arial" w:hAnsi="Arial" w:cs="Arial"/>
                <w:sz w:val="24"/>
                <w:szCs w:val="24"/>
              </w:rPr>
            </w:pPr>
          </w:p>
        </w:tc>
      </w:tr>
      <w:tr w:rsidR="00651614" w:rsidRPr="00EC7980" w14:paraId="1AA38DF9" w14:textId="77777777" w:rsidTr="008B5E2A">
        <w:trPr>
          <w:trHeight w:val="150"/>
          <w:tblCellSpacing w:w="15" w:type="dxa"/>
        </w:trPr>
        <w:tc>
          <w:tcPr>
            <w:tcW w:w="10714" w:type="dxa"/>
            <w:vAlign w:val="center"/>
            <w:hideMark/>
          </w:tcPr>
          <w:p w14:paraId="1C7AC79E" w14:textId="5348EBCC" w:rsidR="00A34C12" w:rsidRPr="00947878" w:rsidRDefault="0083494D" w:rsidP="00D74F6E">
            <w:pPr>
              <w:ind w:left="76" w:right="149"/>
              <w:rPr>
                <w:rFonts w:ascii="Arial" w:hAnsi="Arial" w:cs="Arial"/>
                <w:sz w:val="28"/>
                <w:szCs w:val="28"/>
              </w:rPr>
            </w:pPr>
            <w:r>
              <w:rPr>
                <w:rFonts w:ascii="Arial" w:hAnsi="Arial" w:cs="Arial"/>
                <w:b/>
                <w:bCs/>
                <w:sz w:val="28"/>
                <w:szCs w:val="28"/>
              </w:rPr>
              <w:t>Eğitim</w:t>
            </w:r>
            <w:r w:rsidR="00A34C12" w:rsidRPr="00947878">
              <w:rPr>
                <w:rFonts w:ascii="Arial" w:hAnsi="Arial" w:cs="Arial"/>
                <w:b/>
                <w:bCs/>
                <w:sz w:val="28"/>
                <w:szCs w:val="28"/>
              </w:rPr>
              <w:t xml:space="preserve"> Türü</w:t>
            </w:r>
          </w:p>
          <w:p w14:paraId="4F0F57AE" w14:textId="2DC33330" w:rsidR="00651614" w:rsidRPr="00EC7980" w:rsidRDefault="00651614" w:rsidP="00D74F6E">
            <w:pPr>
              <w:ind w:left="76" w:right="149"/>
              <w:rPr>
                <w:rFonts w:ascii="Arial" w:hAnsi="Arial" w:cs="Arial"/>
                <w:sz w:val="24"/>
                <w:szCs w:val="24"/>
              </w:rPr>
            </w:pPr>
            <w:r w:rsidRPr="00EC7980">
              <w:rPr>
                <w:rFonts w:ascii="Arial" w:hAnsi="Arial" w:cs="Arial"/>
                <w:sz w:val="24"/>
                <w:szCs w:val="24"/>
              </w:rPr>
              <w:t xml:space="preserve">Tam Zamanlı </w:t>
            </w:r>
            <w:r w:rsidR="00E30B59">
              <w:rPr>
                <w:rFonts w:ascii="Arial" w:hAnsi="Arial" w:cs="Arial"/>
                <w:sz w:val="24"/>
                <w:szCs w:val="24"/>
              </w:rPr>
              <w:t>1.</w:t>
            </w:r>
            <w:r w:rsidRPr="00EC7980">
              <w:rPr>
                <w:rFonts w:ascii="Arial" w:hAnsi="Arial" w:cs="Arial"/>
                <w:sz w:val="24"/>
                <w:szCs w:val="24"/>
              </w:rPr>
              <w:t xml:space="preserve"> Öğretim</w:t>
            </w:r>
          </w:p>
        </w:tc>
      </w:tr>
      <w:tr w:rsidR="00651614" w:rsidRPr="00EC7980" w14:paraId="7B8B7EF0" w14:textId="77777777" w:rsidTr="008B5E2A">
        <w:trPr>
          <w:trHeight w:val="150"/>
          <w:tblCellSpacing w:w="15" w:type="dxa"/>
        </w:trPr>
        <w:tc>
          <w:tcPr>
            <w:tcW w:w="10714" w:type="dxa"/>
            <w:vAlign w:val="center"/>
            <w:hideMark/>
          </w:tcPr>
          <w:p w14:paraId="0F8A422E" w14:textId="0177550F" w:rsidR="00651614" w:rsidRPr="00947878" w:rsidRDefault="00651614" w:rsidP="00C34513">
            <w:pPr>
              <w:spacing w:after="120" w:line="240" w:lineRule="auto"/>
              <w:ind w:left="74" w:right="147"/>
              <w:jc w:val="both"/>
              <w:rPr>
                <w:rFonts w:ascii="Arial" w:hAnsi="Arial" w:cs="Arial"/>
                <w:b/>
                <w:bCs/>
                <w:sz w:val="28"/>
                <w:szCs w:val="28"/>
              </w:rPr>
            </w:pPr>
            <w:r w:rsidRPr="00947878">
              <w:rPr>
                <w:rFonts w:ascii="Arial" w:hAnsi="Arial" w:cs="Arial"/>
                <w:b/>
                <w:bCs/>
                <w:sz w:val="28"/>
                <w:szCs w:val="28"/>
              </w:rPr>
              <w:t>Kabul ve Kayıt Şartları</w:t>
            </w:r>
          </w:p>
          <w:p w14:paraId="47C3B56E" w14:textId="77777777" w:rsidR="00B24E47" w:rsidRDefault="00B24E47" w:rsidP="00B24E47">
            <w:pPr>
              <w:pStyle w:val="ListeParagraf"/>
              <w:numPr>
                <w:ilvl w:val="0"/>
                <w:numId w:val="6"/>
              </w:numPr>
              <w:spacing w:after="120" w:line="240" w:lineRule="auto"/>
              <w:ind w:left="369" w:right="147" w:hanging="210"/>
              <w:contextualSpacing w:val="0"/>
              <w:jc w:val="both"/>
              <w:rPr>
                <w:rFonts w:ascii="Arial" w:hAnsi="Arial" w:cs="Arial"/>
                <w:sz w:val="24"/>
                <w:szCs w:val="24"/>
              </w:rPr>
            </w:pPr>
            <w:r>
              <w:rPr>
                <w:rFonts w:ascii="Arial" w:hAnsi="Arial" w:cs="Arial"/>
                <w:sz w:val="24"/>
                <w:szCs w:val="24"/>
              </w:rPr>
              <w:t>Sağlık Bilimleri Enstitü Kurulu tarafından belirlenen ve Karadeniz Teknik Üniversitesi Senatosu tarafından onaylanan “</w:t>
            </w:r>
            <w:hyperlink r:id="rId7" w:history="1">
              <w:r>
                <w:rPr>
                  <w:rStyle w:val="Kpr"/>
                  <w:rFonts w:ascii="Arial" w:hAnsi="Arial" w:cs="Arial"/>
                  <w:b/>
                  <w:bCs/>
                  <w:sz w:val="24"/>
                  <w:szCs w:val="24"/>
                </w:rPr>
                <w:t xml:space="preserve">Lisansüstü Programlarına Başvuruya Esas Teşkil Eden Mezuniyet Ön </w:t>
              </w:r>
              <w:proofErr w:type="spellStart"/>
              <w:r>
                <w:rPr>
                  <w:rStyle w:val="Kpr"/>
                  <w:rFonts w:ascii="Arial" w:hAnsi="Arial" w:cs="Arial"/>
                  <w:b/>
                  <w:bCs/>
                  <w:sz w:val="24"/>
                  <w:szCs w:val="24"/>
                </w:rPr>
                <w:t>Koşulları</w:t>
              </w:r>
            </w:hyperlink>
            <w:r>
              <w:rPr>
                <w:rFonts w:ascii="Arial" w:hAnsi="Arial" w:cs="Arial"/>
                <w:sz w:val="24"/>
                <w:szCs w:val="24"/>
              </w:rPr>
              <w:t>”nı</w:t>
            </w:r>
            <w:proofErr w:type="spellEnd"/>
            <w:r>
              <w:rPr>
                <w:rFonts w:ascii="Arial" w:hAnsi="Arial" w:cs="Arial"/>
                <w:sz w:val="24"/>
                <w:szCs w:val="24"/>
              </w:rPr>
              <w:t xml:space="preserve"> karşılayan bir bölüm veya fakülte mezun olmak.</w:t>
            </w:r>
          </w:p>
          <w:p w14:paraId="360BBE2C" w14:textId="535A89CE" w:rsidR="00651614" w:rsidRPr="00036C8C" w:rsidRDefault="00B24E47" w:rsidP="00036C8C">
            <w:pPr>
              <w:pStyle w:val="ListeParagraf"/>
              <w:numPr>
                <w:ilvl w:val="0"/>
                <w:numId w:val="7"/>
              </w:numPr>
              <w:spacing w:after="120" w:line="240" w:lineRule="auto"/>
              <w:ind w:left="369" w:right="147" w:hanging="210"/>
              <w:contextualSpacing w:val="0"/>
              <w:jc w:val="both"/>
              <w:rPr>
                <w:rFonts w:ascii="Arial" w:hAnsi="Arial" w:cs="Arial"/>
                <w:b/>
                <w:bCs/>
                <w:sz w:val="24"/>
                <w:szCs w:val="24"/>
              </w:rPr>
            </w:pPr>
            <w:r>
              <w:rPr>
                <w:rFonts w:ascii="Arial" w:hAnsi="Arial" w:cs="Arial"/>
                <w:sz w:val="24"/>
                <w:szCs w:val="24"/>
              </w:rPr>
              <w:t>Sağlık Bilimleri Enstitü Kurulu tarafından belirlenen ve KTÜ Senatosu tarafından onaylanan ALES (SAY/EA) ve Yabancı Dil taban puanına sahip olmak (</w:t>
            </w:r>
            <w:hyperlink r:id="rId8" w:history="1">
              <w:r>
                <w:rPr>
                  <w:rStyle w:val="Kpr"/>
                  <w:rFonts w:ascii="Arial" w:hAnsi="Arial" w:cs="Arial"/>
                  <w:b/>
                  <w:bCs/>
                  <w:sz w:val="24"/>
                  <w:szCs w:val="24"/>
                </w:rPr>
                <w:t>KTÜ Sağlık Bilimler Enstitüsü Lisansüstü Programlara Başvuru ve Giriş Koşulları</w:t>
              </w:r>
            </w:hyperlink>
            <w:r>
              <w:rPr>
                <w:rFonts w:ascii="Arial" w:hAnsi="Arial" w:cs="Arial"/>
                <w:sz w:val="24"/>
                <w:szCs w:val="24"/>
              </w:rPr>
              <w:t>).</w:t>
            </w:r>
          </w:p>
        </w:tc>
      </w:tr>
      <w:tr w:rsidR="00651614" w:rsidRPr="00EC7980" w14:paraId="08C42F13" w14:textId="77777777" w:rsidTr="008B5E2A">
        <w:trPr>
          <w:trHeight w:val="150"/>
          <w:tblCellSpacing w:w="15" w:type="dxa"/>
        </w:trPr>
        <w:tc>
          <w:tcPr>
            <w:tcW w:w="10714" w:type="dxa"/>
            <w:vAlign w:val="center"/>
            <w:hideMark/>
          </w:tcPr>
          <w:p w14:paraId="3191BF0A" w14:textId="77777777" w:rsidR="00651614" w:rsidRPr="00947878" w:rsidRDefault="00651614" w:rsidP="00D74F6E">
            <w:pPr>
              <w:ind w:left="76" w:right="149"/>
              <w:jc w:val="both"/>
              <w:rPr>
                <w:rFonts w:ascii="Arial" w:hAnsi="Arial" w:cs="Arial"/>
                <w:b/>
                <w:bCs/>
                <w:sz w:val="28"/>
                <w:szCs w:val="28"/>
              </w:rPr>
            </w:pPr>
            <w:r w:rsidRPr="00947878">
              <w:rPr>
                <w:rFonts w:ascii="Arial" w:eastAsia="Times New Roman" w:hAnsi="Arial" w:cs="Arial"/>
                <w:b/>
                <w:bCs/>
                <w:color w:val="000000" w:themeColor="text1"/>
                <w:sz w:val="28"/>
                <w:szCs w:val="28"/>
                <w:lang w:eastAsia="tr-TR"/>
              </w:rPr>
              <w:t>Önceki Öğrenmelerin Tanınması</w:t>
            </w:r>
          </w:p>
          <w:p w14:paraId="75427003" w14:textId="77777777" w:rsidR="00C6311F" w:rsidRPr="00EC7980" w:rsidRDefault="00C6311F" w:rsidP="00C6311F">
            <w:pPr>
              <w:ind w:left="76" w:right="149"/>
              <w:jc w:val="both"/>
              <w:rPr>
                <w:rFonts w:ascii="Arial" w:hAnsi="Arial" w:cs="Arial"/>
                <w:b/>
                <w:bCs/>
                <w:sz w:val="24"/>
                <w:szCs w:val="24"/>
              </w:rPr>
            </w:pPr>
            <w:r w:rsidRPr="00EC7980">
              <w:rPr>
                <w:rFonts w:ascii="Arial" w:hAnsi="Arial" w:cs="Arial"/>
                <w:b/>
                <w:bCs/>
                <w:sz w:val="24"/>
                <w:szCs w:val="24"/>
              </w:rPr>
              <w:t>Yatay Geçiş:</w:t>
            </w:r>
          </w:p>
          <w:p w14:paraId="3F5AB43B" w14:textId="71371554" w:rsidR="00651614" w:rsidRPr="00EC7980" w:rsidRDefault="00651614" w:rsidP="00C34513">
            <w:pPr>
              <w:spacing w:after="120" w:line="240" w:lineRule="auto"/>
              <w:ind w:left="74" w:right="147"/>
              <w:jc w:val="both"/>
              <w:rPr>
                <w:rFonts w:ascii="Arial" w:hAnsi="Arial" w:cs="Arial"/>
                <w:b/>
                <w:bCs/>
                <w:sz w:val="24"/>
                <w:szCs w:val="24"/>
              </w:rPr>
            </w:pPr>
            <w:r w:rsidRPr="00EC7980">
              <w:rPr>
                <w:rFonts w:ascii="Arial" w:hAnsi="Arial" w:cs="Arial"/>
                <w:sz w:val="24"/>
                <w:szCs w:val="24"/>
              </w:rPr>
              <w:t>Yatay geçiş yoluyla öğrenci kabulünde</w:t>
            </w:r>
            <w:r w:rsidRPr="00EC7980">
              <w:rPr>
                <w:rFonts w:ascii="Arial" w:hAnsi="Arial" w:cs="Arial"/>
                <w:b/>
                <w:bCs/>
                <w:sz w:val="24"/>
                <w:szCs w:val="24"/>
              </w:rPr>
              <w:t xml:space="preserve"> </w:t>
            </w:r>
            <w:r w:rsidRPr="00EC7980">
              <w:rPr>
                <w:rFonts w:ascii="Arial" w:hAnsi="Arial" w:cs="Arial"/>
                <w:color w:val="000000" w:themeColor="text1"/>
                <w:sz w:val="24"/>
                <w:szCs w:val="24"/>
              </w:rPr>
              <w:t>KTÜ Lisansüstü Eğitim-Öğretim Yönetmeliği</w:t>
            </w:r>
            <w:r w:rsidRPr="00EC7980">
              <w:rPr>
                <w:rFonts w:ascii="Arial" w:hAnsi="Arial" w:cs="Arial"/>
                <w:b/>
                <w:bCs/>
                <w:sz w:val="24"/>
                <w:szCs w:val="24"/>
              </w:rPr>
              <w:t>’</w:t>
            </w:r>
            <w:r w:rsidRPr="00EC7980">
              <w:rPr>
                <w:rFonts w:ascii="Arial" w:hAnsi="Arial" w:cs="Arial"/>
                <w:sz w:val="24"/>
                <w:szCs w:val="24"/>
              </w:rPr>
              <w:t>nin</w:t>
            </w:r>
            <w:r w:rsidRPr="00EC7980">
              <w:rPr>
                <w:rFonts w:ascii="Arial" w:hAnsi="Arial" w:cs="Arial"/>
                <w:b/>
                <w:bCs/>
                <w:sz w:val="24"/>
                <w:szCs w:val="24"/>
              </w:rPr>
              <w:t xml:space="preserve"> </w:t>
            </w:r>
            <w:r w:rsidRPr="00EC7980">
              <w:rPr>
                <w:rFonts w:ascii="Arial" w:hAnsi="Arial" w:cs="Arial"/>
                <w:sz w:val="24"/>
                <w:szCs w:val="24"/>
              </w:rPr>
              <w:t>32</w:t>
            </w:r>
            <w:r w:rsidR="00E9228F" w:rsidRPr="00EC7980">
              <w:rPr>
                <w:rFonts w:ascii="Arial" w:hAnsi="Arial" w:cs="Arial"/>
                <w:sz w:val="24"/>
                <w:szCs w:val="24"/>
              </w:rPr>
              <w:t>.</w:t>
            </w:r>
            <w:r w:rsidRPr="00EC7980">
              <w:rPr>
                <w:rFonts w:ascii="Arial" w:hAnsi="Arial" w:cs="Arial"/>
                <w:sz w:val="24"/>
                <w:szCs w:val="24"/>
              </w:rPr>
              <w:t xml:space="preserve"> maddesinin </w:t>
            </w:r>
            <w:r w:rsidR="000D7F78" w:rsidRPr="00EC7980">
              <w:rPr>
                <w:rFonts w:ascii="Arial" w:hAnsi="Arial" w:cs="Arial"/>
                <w:sz w:val="24"/>
                <w:szCs w:val="24"/>
              </w:rPr>
              <w:t xml:space="preserve">aşağıda belirtilen </w:t>
            </w:r>
            <w:r w:rsidRPr="00EC7980">
              <w:rPr>
                <w:rFonts w:ascii="Arial" w:hAnsi="Arial" w:cs="Arial"/>
                <w:sz w:val="24"/>
                <w:szCs w:val="24"/>
              </w:rPr>
              <w:t>hükümlerine göre işlem yapılır</w:t>
            </w:r>
            <w:r w:rsidR="00A24EF5" w:rsidRPr="00EC7980">
              <w:rPr>
                <w:rFonts w:ascii="Arial" w:hAnsi="Arial" w:cs="Arial"/>
                <w:sz w:val="24"/>
                <w:szCs w:val="24"/>
              </w:rPr>
              <w:t>:</w:t>
            </w:r>
            <w:r w:rsidRPr="00EC7980">
              <w:rPr>
                <w:rFonts w:ascii="Arial" w:hAnsi="Arial" w:cs="Arial"/>
                <w:sz w:val="24"/>
                <w:szCs w:val="24"/>
              </w:rPr>
              <w:t xml:space="preserve"> </w:t>
            </w:r>
          </w:p>
          <w:p w14:paraId="15C10DDC" w14:textId="1561E3D2" w:rsidR="00651614" w:rsidRPr="00EC7980" w:rsidRDefault="00651614" w:rsidP="00C34513">
            <w:pPr>
              <w:spacing w:after="120" w:line="240" w:lineRule="auto"/>
              <w:ind w:left="74" w:right="147"/>
              <w:jc w:val="both"/>
              <w:rPr>
                <w:rFonts w:ascii="Arial" w:hAnsi="Arial" w:cs="Arial"/>
                <w:color w:val="000000" w:themeColor="text1"/>
                <w:sz w:val="24"/>
                <w:szCs w:val="24"/>
              </w:rPr>
            </w:pPr>
            <w:r w:rsidRPr="00EC7980">
              <w:rPr>
                <w:rFonts w:ascii="Arial" w:hAnsi="Arial" w:cs="Arial"/>
                <w:color w:val="000000" w:themeColor="text1"/>
                <w:sz w:val="24"/>
                <w:szCs w:val="24"/>
              </w:rPr>
              <w:t>(1) Üniversite içindeki başka bir enstitü anabilim/</w:t>
            </w:r>
            <w:proofErr w:type="spellStart"/>
            <w:r w:rsidRPr="00EC7980">
              <w:rPr>
                <w:rFonts w:ascii="Arial" w:hAnsi="Arial" w:cs="Arial"/>
                <w:color w:val="000000" w:themeColor="text1"/>
                <w:sz w:val="24"/>
                <w:szCs w:val="24"/>
              </w:rPr>
              <w:t>anasanat</w:t>
            </w:r>
            <w:proofErr w:type="spellEnd"/>
            <w:r w:rsidRPr="00EC7980">
              <w:rPr>
                <w:rFonts w:ascii="Arial" w:hAnsi="Arial" w:cs="Arial"/>
                <w:color w:val="000000" w:themeColor="text1"/>
                <w:sz w:val="24"/>
                <w:szCs w:val="24"/>
              </w:rPr>
              <w:t xml:space="preserve"> dalında veya başka bir yükseköğretim kurumunun lisansüstü programında en az bir yarıyılı tamamlamış olan başarılı öğrenci, lisansüstü programlara yatay geçiş yoluyla kabul edilebilir. </w:t>
            </w:r>
          </w:p>
          <w:p w14:paraId="2A3D5CE8" w14:textId="77777777" w:rsidR="00651614" w:rsidRPr="00EC7980" w:rsidRDefault="00651614" w:rsidP="00C34513">
            <w:pPr>
              <w:spacing w:after="120" w:line="240" w:lineRule="auto"/>
              <w:ind w:left="74" w:right="147"/>
              <w:jc w:val="both"/>
              <w:rPr>
                <w:rFonts w:ascii="Arial" w:hAnsi="Arial" w:cs="Arial"/>
                <w:color w:val="000000" w:themeColor="text1"/>
                <w:sz w:val="24"/>
                <w:szCs w:val="24"/>
              </w:rPr>
            </w:pPr>
            <w:r w:rsidRPr="00EC7980">
              <w:rPr>
                <w:rFonts w:ascii="Arial" w:hAnsi="Arial" w:cs="Arial"/>
                <w:color w:val="000000" w:themeColor="text1"/>
                <w:sz w:val="24"/>
                <w:szCs w:val="24"/>
              </w:rPr>
              <w:t xml:space="preserve">(2) Başvuruda bulunan öğrencinin yatay geçiş yapabilmesi için başvurduğu programın asgari başvuru koşullarını sağlaması gerekir. Geçişler ancak eşdeğer programlar arasında yapılabilir. </w:t>
            </w:r>
          </w:p>
          <w:p w14:paraId="0F21FBAA" w14:textId="6E1EF261" w:rsidR="00651614" w:rsidRPr="00EC7980" w:rsidRDefault="00651614" w:rsidP="00C34513">
            <w:pPr>
              <w:spacing w:after="120" w:line="240" w:lineRule="auto"/>
              <w:ind w:left="74" w:right="147"/>
              <w:jc w:val="both"/>
              <w:rPr>
                <w:rFonts w:ascii="Arial" w:hAnsi="Arial" w:cs="Arial"/>
                <w:color w:val="000000" w:themeColor="text1"/>
                <w:sz w:val="24"/>
                <w:szCs w:val="24"/>
              </w:rPr>
            </w:pPr>
            <w:r w:rsidRPr="00EC7980">
              <w:rPr>
                <w:rFonts w:ascii="Arial" w:hAnsi="Arial" w:cs="Arial"/>
                <w:color w:val="000000" w:themeColor="text1"/>
                <w:sz w:val="24"/>
                <w:szCs w:val="24"/>
              </w:rPr>
              <w:t>(3) Üniversite dışından yatay geçiş başvurusu kabul edilen öğrenciler için AKTS eşdeğerliği ve ders uyumu, anabilim/</w:t>
            </w:r>
            <w:proofErr w:type="spellStart"/>
            <w:r w:rsidRPr="00EC7980">
              <w:rPr>
                <w:rFonts w:ascii="Arial" w:hAnsi="Arial" w:cs="Arial"/>
                <w:color w:val="000000" w:themeColor="text1"/>
                <w:sz w:val="24"/>
                <w:szCs w:val="24"/>
              </w:rPr>
              <w:t>anasanat</w:t>
            </w:r>
            <w:proofErr w:type="spellEnd"/>
            <w:r w:rsidRPr="00EC7980">
              <w:rPr>
                <w:rFonts w:ascii="Arial" w:hAnsi="Arial" w:cs="Arial"/>
                <w:color w:val="000000" w:themeColor="text1"/>
                <w:sz w:val="24"/>
                <w:szCs w:val="24"/>
              </w:rPr>
              <w:t xml:space="preserve"> dalı başkanlığının görüşü alınarak enstitü yönetim kurulu tarafından karara bağlanır</w:t>
            </w:r>
            <w:r w:rsidR="007C100E" w:rsidRPr="00EC7980">
              <w:rPr>
                <w:rFonts w:ascii="Arial" w:hAnsi="Arial" w:cs="Arial"/>
                <w:color w:val="000000" w:themeColor="text1"/>
                <w:sz w:val="24"/>
                <w:szCs w:val="24"/>
              </w:rPr>
              <w:t>…</w:t>
            </w:r>
            <w:r w:rsidRPr="00EC7980">
              <w:rPr>
                <w:rFonts w:ascii="Arial" w:hAnsi="Arial" w:cs="Arial"/>
                <w:color w:val="000000" w:themeColor="text1"/>
                <w:sz w:val="24"/>
                <w:szCs w:val="24"/>
              </w:rPr>
              <w:t xml:space="preserve"> Doktora programına tez aşamasında yatay geçiş yapmak isteyen öğrenciler, AKTS eşdeğerliği ve ders uyumu koşullarını sağlamak ve yeniden yeterlik sınavına girmek şartıyla ilgili programa kabul edilebilir. </w:t>
            </w:r>
          </w:p>
          <w:p w14:paraId="25C051E5" w14:textId="4EE5771E" w:rsidR="00651614" w:rsidRPr="00EC7980" w:rsidRDefault="00651614" w:rsidP="00C34513">
            <w:pPr>
              <w:spacing w:after="120" w:line="240" w:lineRule="auto"/>
              <w:ind w:left="74" w:right="147"/>
              <w:jc w:val="both"/>
              <w:rPr>
                <w:rFonts w:ascii="Arial" w:hAnsi="Arial" w:cs="Arial"/>
                <w:color w:val="000000" w:themeColor="text1"/>
                <w:sz w:val="24"/>
                <w:szCs w:val="24"/>
              </w:rPr>
            </w:pPr>
            <w:r w:rsidRPr="00EC7980">
              <w:rPr>
                <w:rFonts w:ascii="Arial" w:hAnsi="Arial" w:cs="Arial"/>
                <w:color w:val="000000" w:themeColor="text1"/>
                <w:sz w:val="24"/>
                <w:szCs w:val="24"/>
              </w:rPr>
              <w:lastRenderedPageBreak/>
              <w:t>(4) Üniversite dışından bir öğrencinin yatay geçiş yapabilmesi için YÖKDİL, e-YDS ve YDS sınavlarından 60 puan veya ÖSYM tarafından kabul edilen sınavlardan eşdeğeri puana sahip olması gerekir.</w:t>
            </w:r>
          </w:p>
          <w:p w14:paraId="76583546" w14:textId="77777777" w:rsidR="00341941" w:rsidRPr="00EC7980" w:rsidRDefault="00341941" w:rsidP="00341941">
            <w:pPr>
              <w:ind w:left="78" w:right="88"/>
              <w:rPr>
                <w:rFonts w:ascii="Arial" w:eastAsia="Times New Roman" w:hAnsi="Arial" w:cs="Arial"/>
                <w:b/>
                <w:bCs/>
                <w:color w:val="000000" w:themeColor="text1"/>
                <w:sz w:val="24"/>
                <w:szCs w:val="24"/>
                <w:lang w:eastAsia="tr-TR"/>
              </w:rPr>
            </w:pPr>
            <w:r w:rsidRPr="00EC7980">
              <w:rPr>
                <w:rFonts w:ascii="Arial" w:eastAsia="Times New Roman" w:hAnsi="Arial" w:cs="Arial"/>
                <w:b/>
                <w:bCs/>
                <w:color w:val="000000" w:themeColor="text1"/>
                <w:sz w:val="24"/>
                <w:szCs w:val="24"/>
                <w:lang w:eastAsia="tr-TR"/>
              </w:rPr>
              <w:t>Ders Saydırma:</w:t>
            </w:r>
          </w:p>
          <w:p w14:paraId="3100C228" w14:textId="77777777" w:rsidR="00341941" w:rsidRPr="00EC7980" w:rsidRDefault="00341941" w:rsidP="00341941">
            <w:pPr>
              <w:ind w:left="76" w:right="149"/>
              <w:jc w:val="both"/>
              <w:rPr>
                <w:rFonts w:ascii="Arial" w:hAnsi="Arial" w:cs="Arial"/>
                <w:b/>
                <w:bCs/>
                <w:sz w:val="24"/>
                <w:szCs w:val="24"/>
              </w:rPr>
            </w:pPr>
            <w:r w:rsidRPr="00EC7980">
              <w:rPr>
                <w:rFonts w:ascii="Arial" w:hAnsi="Arial" w:cs="Arial"/>
                <w:color w:val="000000" w:themeColor="text1"/>
                <w:sz w:val="24"/>
                <w:szCs w:val="24"/>
              </w:rPr>
              <w:t xml:space="preserve">Ders saydırma işlemleri 03.11.2017 tarih ve 284 sayılı Lisansüstü Eğitim-Öğretim Programlarının Yürütülmesine Dair Senato İlkeleri’nin aşağıda belirtilen A-4 </w:t>
            </w:r>
            <w:r w:rsidRPr="00EC7980">
              <w:rPr>
                <w:rFonts w:ascii="Arial" w:hAnsi="Arial" w:cs="Arial"/>
                <w:sz w:val="24"/>
                <w:szCs w:val="24"/>
              </w:rPr>
              <w:t xml:space="preserve">hükmüne göre gerçekleştirilir: </w:t>
            </w:r>
          </w:p>
          <w:p w14:paraId="7FF904AB" w14:textId="77777777" w:rsidR="00341941" w:rsidRPr="00EC7980" w:rsidRDefault="00341941" w:rsidP="00341941">
            <w:pPr>
              <w:spacing w:after="0" w:line="240" w:lineRule="auto"/>
              <w:ind w:left="79" w:right="91"/>
              <w:jc w:val="both"/>
              <w:rPr>
                <w:rFonts w:ascii="Arial" w:hAnsi="Arial" w:cs="Arial"/>
                <w:color w:val="000000" w:themeColor="text1"/>
                <w:sz w:val="24"/>
                <w:szCs w:val="24"/>
                <w:shd w:val="clear" w:color="auto" w:fill="FFFFFF"/>
              </w:rPr>
            </w:pPr>
            <w:r w:rsidRPr="00EC7980">
              <w:rPr>
                <w:rFonts w:ascii="Arial" w:hAnsi="Arial" w:cs="Arial"/>
                <w:color w:val="000000" w:themeColor="text1"/>
                <w:sz w:val="24"/>
                <w:szCs w:val="24"/>
                <w:shd w:val="clear" w:color="auto" w:fill="FFFFFF"/>
              </w:rPr>
              <w:t>Üniversitemiz lisansüstü programlarında başarısızlık ya da çeşitli nedenlerle kaydı silinen öğrenci yeniden aynı programa başvuramaz. Ancak öğrenci Üniversitemizin başka bir lisansüstü programına başvurabilir. Bu durumda olan öğrenci daha önce başarılı olduğu derslerden en fazla ikisini (6 kredi) ilgili anabilim dalının uygun görüşü doğrultusunda saydırabilir. Başka bir üniversiteden kaydı silinerek Üniversitemize kayıt yaptıran öğrenci, ilgili anabilim/bilim dalı programında başarılı olunan derslerden en fazla ikisinden ders saydırma talebinde bulunabilir.</w:t>
            </w:r>
          </w:p>
          <w:p w14:paraId="5E128D50" w14:textId="61309CD8" w:rsidR="00651614" w:rsidRPr="00EC7980" w:rsidRDefault="00651614" w:rsidP="00876324">
            <w:pPr>
              <w:ind w:right="149"/>
              <w:jc w:val="both"/>
              <w:rPr>
                <w:rFonts w:ascii="Arial" w:hAnsi="Arial" w:cs="Arial"/>
                <w:strike/>
                <w:sz w:val="24"/>
                <w:szCs w:val="24"/>
              </w:rPr>
            </w:pPr>
          </w:p>
        </w:tc>
      </w:tr>
      <w:tr w:rsidR="00651614" w:rsidRPr="00EC7980" w14:paraId="79D55776" w14:textId="77777777" w:rsidTr="008B5E2A">
        <w:trPr>
          <w:trHeight w:val="150"/>
          <w:tblCellSpacing w:w="15" w:type="dxa"/>
        </w:trPr>
        <w:tc>
          <w:tcPr>
            <w:tcW w:w="10714" w:type="dxa"/>
            <w:vAlign w:val="center"/>
            <w:hideMark/>
          </w:tcPr>
          <w:p w14:paraId="694EACCA" w14:textId="6C195956" w:rsidR="00651614" w:rsidRPr="00947878" w:rsidRDefault="00651614" w:rsidP="00D74F6E">
            <w:pPr>
              <w:ind w:left="76" w:right="149"/>
              <w:rPr>
                <w:rFonts w:ascii="Arial" w:hAnsi="Arial" w:cs="Arial"/>
                <w:b/>
                <w:bCs/>
                <w:sz w:val="28"/>
                <w:szCs w:val="28"/>
              </w:rPr>
            </w:pPr>
            <w:r w:rsidRPr="00947878">
              <w:rPr>
                <w:rFonts w:ascii="Arial" w:hAnsi="Arial" w:cs="Arial"/>
                <w:b/>
                <w:bCs/>
                <w:sz w:val="28"/>
                <w:szCs w:val="28"/>
              </w:rPr>
              <w:lastRenderedPageBreak/>
              <w:t>Kazanılacak Dereceye Yönelik Gereklilikler ve Kurallar</w:t>
            </w:r>
          </w:p>
          <w:p w14:paraId="24E46FFB" w14:textId="77777777" w:rsidR="00F82EB0" w:rsidRPr="00EC7980" w:rsidRDefault="00F82EB0" w:rsidP="00F82EB0">
            <w:pPr>
              <w:spacing w:after="120" w:line="240" w:lineRule="auto"/>
              <w:ind w:right="147"/>
              <w:jc w:val="both"/>
              <w:rPr>
                <w:rFonts w:ascii="Arial" w:hAnsi="Arial" w:cs="Arial"/>
                <w:sz w:val="24"/>
                <w:szCs w:val="24"/>
              </w:rPr>
            </w:pPr>
            <w:r w:rsidRPr="00EC7980">
              <w:rPr>
                <w:rFonts w:ascii="Arial" w:hAnsi="Arial" w:cs="Arial"/>
                <w:sz w:val="24"/>
                <w:szCs w:val="24"/>
              </w:rPr>
              <w:t>Doktora programından mezun olmak için;</w:t>
            </w:r>
          </w:p>
          <w:p w14:paraId="6AA8B63D" w14:textId="77777777" w:rsidR="00F82EB0" w:rsidRPr="00EC7980" w:rsidRDefault="00F82EB0" w:rsidP="00F82EB0">
            <w:pPr>
              <w:pStyle w:val="ListeParagraf"/>
              <w:numPr>
                <w:ilvl w:val="0"/>
                <w:numId w:val="5"/>
              </w:numPr>
              <w:spacing w:after="120" w:line="240" w:lineRule="auto"/>
              <w:ind w:left="276" w:right="147" w:hanging="140"/>
              <w:contextualSpacing w:val="0"/>
              <w:jc w:val="both"/>
              <w:rPr>
                <w:rFonts w:ascii="Arial" w:hAnsi="Arial" w:cs="Arial"/>
                <w:sz w:val="24"/>
                <w:szCs w:val="24"/>
              </w:rPr>
            </w:pPr>
            <w:r w:rsidRPr="00EC7980">
              <w:rPr>
                <w:rFonts w:ascii="Arial" w:hAnsi="Arial" w:cs="Arial"/>
                <w:sz w:val="24"/>
                <w:szCs w:val="24"/>
              </w:rPr>
              <w:t>Toplam 21 krediden (240 AKTS) az olmamak koşuluyla programın zorunlu dersleri dahil ikisi İngilizce olmak üzere en az yedi dersin ve kredisiz olan seminer, “Bilimsel Araştırma ve Yayın Etiği” ile “</w:t>
            </w:r>
            <w:r w:rsidRPr="00EC7980">
              <w:rPr>
                <w:rFonts w:ascii="Arial" w:hAnsi="Arial" w:cs="Arial"/>
                <w:sz w:val="24"/>
                <w:szCs w:val="24"/>
                <w:shd w:val="clear" w:color="auto" w:fill="FFFFFF"/>
              </w:rPr>
              <w:t xml:space="preserve">Bilimsel Araştırma ve Proje Hazırlama Eğitimi” </w:t>
            </w:r>
            <w:r w:rsidRPr="00EC7980">
              <w:rPr>
                <w:rFonts w:ascii="Arial" w:hAnsi="Arial" w:cs="Arial"/>
                <w:sz w:val="24"/>
                <w:szCs w:val="24"/>
              </w:rPr>
              <w:t>derslerinin en geç dördüncü yarıyılın sonuna kadar,</w:t>
            </w:r>
          </w:p>
          <w:p w14:paraId="65643BFE" w14:textId="77777777" w:rsidR="00F82EB0" w:rsidRPr="00EC7980" w:rsidRDefault="00F82EB0" w:rsidP="00F82EB0">
            <w:pPr>
              <w:pStyle w:val="ListeParagraf"/>
              <w:numPr>
                <w:ilvl w:val="0"/>
                <w:numId w:val="5"/>
              </w:numPr>
              <w:spacing w:after="120" w:line="240" w:lineRule="auto"/>
              <w:ind w:left="276" w:right="147" w:hanging="140"/>
              <w:contextualSpacing w:val="0"/>
              <w:jc w:val="both"/>
              <w:rPr>
                <w:rFonts w:ascii="Arial" w:hAnsi="Arial" w:cs="Arial"/>
                <w:sz w:val="24"/>
                <w:szCs w:val="24"/>
              </w:rPr>
            </w:pPr>
            <w:r w:rsidRPr="00EC7980">
              <w:rPr>
                <w:rFonts w:ascii="Arial" w:hAnsi="Arial" w:cs="Arial"/>
                <w:sz w:val="24"/>
                <w:szCs w:val="24"/>
              </w:rPr>
              <w:t>Doktora yeterlilik sınavının yüksek lisans derecesi ile kabul edilen öğrenci en erken üçüncü yarıyılın sonunda, en geç beşinci yarıyılın sonuna kadar, lisans derecesi ile kabul edilmiş olan öğrenci ise en erken beşinci yarıyılın sonunda, en geç yedinci yarıyılın sonuna kadar,</w:t>
            </w:r>
          </w:p>
          <w:p w14:paraId="515E6673" w14:textId="77777777" w:rsidR="00F82EB0" w:rsidRPr="00EC7980" w:rsidRDefault="00F82EB0" w:rsidP="00F82EB0">
            <w:pPr>
              <w:pStyle w:val="ListeParagraf"/>
              <w:numPr>
                <w:ilvl w:val="0"/>
                <w:numId w:val="5"/>
              </w:numPr>
              <w:spacing w:after="120" w:line="240" w:lineRule="auto"/>
              <w:ind w:left="276" w:right="147" w:hanging="140"/>
              <w:contextualSpacing w:val="0"/>
              <w:jc w:val="both"/>
              <w:rPr>
                <w:rFonts w:ascii="Arial" w:hAnsi="Arial" w:cs="Arial"/>
                <w:sz w:val="24"/>
                <w:szCs w:val="24"/>
              </w:rPr>
            </w:pPr>
            <w:r w:rsidRPr="00EC7980">
              <w:rPr>
                <w:rFonts w:ascii="Arial" w:hAnsi="Arial" w:cs="Arial"/>
                <w:sz w:val="24"/>
                <w:szCs w:val="24"/>
              </w:rPr>
              <w:t>“Gelişim ve Öğrenme” ve “Öğretimde Planlama ve Değerlendirme” dersleri tez savunma sınavına kadar,</w:t>
            </w:r>
          </w:p>
          <w:p w14:paraId="0A47A6C4" w14:textId="1A611A63" w:rsidR="00651614" w:rsidRPr="00EC7980" w:rsidRDefault="00F82EB0" w:rsidP="00F82EB0">
            <w:pPr>
              <w:pStyle w:val="ListeParagraf"/>
              <w:numPr>
                <w:ilvl w:val="0"/>
                <w:numId w:val="5"/>
              </w:numPr>
              <w:spacing w:after="120" w:line="240" w:lineRule="auto"/>
              <w:ind w:left="276" w:right="147" w:hanging="140"/>
              <w:contextualSpacing w:val="0"/>
              <w:jc w:val="both"/>
              <w:rPr>
                <w:rFonts w:ascii="Arial" w:hAnsi="Arial" w:cs="Arial"/>
                <w:strike/>
                <w:sz w:val="24"/>
                <w:szCs w:val="24"/>
              </w:rPr>
            </w:pPr>
            <w:r w:rsidRPr="00EC7980">
              <w:rPr>
                <w:rFonts w:ascii="Arial" w:hAnsi="Arial" w:cs="Arial"/>
                <w:sz w:val="24"/>
                <w:szCs w:val="24"/>
              </w:rPr>
              <w:t>Üst üste iki kez veya aralıklı olarak üç kez başarısız olunmamak kaydıyla en az üç başarılı tez izleme komitesi raporu sunulmuş olan tez çalışmasının en geç 12. yarıyılın sonuna kadar başarı ile tamamlanması gerekir</w:t>
            </w:r>
            <w:r>
              <w:rPr>
                <w:rFonts w:ascii="Arial" w:hAnsi="Arial" w:cs="Arial"/>
                <w:sz w:val="24"/>
                <w:szCs w:val="24"/>
              </w:rPr>
              <w:t xml:space="preserve"> </w:t>
            </w:r>
            <w:r w:rsidR="00651614" w:rsidRPr="00EC7980">
              <w:rPr>
                <w:rFonts w:ascii="Arial" w:hAnsi="Arial" w:cs="Arial"/>
                <w:color w:val="000000" w:themeColor="text1"/>
                <w:sz w:val="24"/>
                <w:szCs w:val="24"/>
              </w:rPr>
              <w:t>(</w:t>
            </w:r>
            <w:r w:rsidR="00651614" w:rsidRPr="00EC7980">
              <w:rPr>
                <w:rFonts w:ascii="Arial" w:hAnsi="Arial" w:cs="Arial"/>
                <w:b/>
                <w:bCs/>
                <w:color w:val="0070C0"/>
                <w:sz w:val="24"/>
                <w:szCs w:val="24"/>
              </w:rPr>
              <w:t>bkz. KTÜ Lisansüstü Eğitim-Öğretim Yönetmeliği</w:t>
            </w:r>
            <w:r w:rsidR="00651614" w:rsidRPr="00EC7980">
              <w:rPr>
                <w:rFonts w:ascii="Arial" w:hAnsi="Arial" w:cs="Arial"/>
                <w:color w:val="000000" w:themeColor="text1"/>
                <w:sz w:val="24"/>
                <w:szCs w:val="24"/>
              </w:rPr>
              <w:t>).</w:t>
            </w:r>
          </w:p>
        </w:tc>
      </w:tr>
      <w:tr w:rsidR="00651614" w:rsidRPr="00EC7980" w14:paraId="36455D9C" w14:textId="77777777" w:rsidTr="008B5E2A">
        <w:trPr>
          <w:trHeight w:val="150"/>
          <w:tblCellSpacing w:w="15" w:type="dxa"/>
        </w:trPr>
        <w:tc>
          <w:tcPr>
            <w:tcW w:w="10714" w:type="dxa"/>
            <w:vAlign w:val="center"/>
            <w:hideMark/>
          </w:tcPr>
          <w:p w14:paraId="6D2D2E41" w14:textId="77777777" w:rsidR="00651614" w:rsidRPr="00947878" w:rsidRDefault="00651614" w:rsidP="00D74F6E">
            <w:pPr>
              <w:ind w:left="76" w:right="149"/>
              <w:rPr>
                <w:rFonts w:ascii="Arial" w:hAnsi="Arial" w:cs="Arial"/>
                <w:b/>
                <w:bCs/>
                <w:sz w:val="28"/>
                <w:szCs w:val="28"/>
              </w:rPr>
            </w:pPr>
            <w:r w:rsidRPr="00947878">
              <w:rPr>
                <w:rFonts w:ascii="Arial" w:hAnsi="Arial" w:cs="Arial"/>
                <w:b/>
                <w:bCs/>
                <w:sz w:val="28"/>
                <w:szCs w:val="28"/>
              </w:rPr>
              <w:t>Sınavlar, Ölçme ve Değerlendirme</w:t>
            </w:r>
          </w:p>
          <w:p w14:paraId="795468CC" w14:textId="7647D53D" w:rsidR="00651614" w:rsidRPr="00EC7980" w:rsidRDefault="00651614" w:rsidP="00D74F6E">
            <w:pPr>
              <w:ind w:left="76" w:right="149"/>
              <w:jc w:val="both"/>
              <w:rPr>
                <w:rFonts w:ascii="Arial" w:hAnsi="Arial" w:cs="Arial"/>
                <w:sz w:val="24"/>
                <w:szCs w:val="24"/>
              </w:rPr>
            </w:pPr>
            <w:r w:rsidRPr="00EC7980">
              <w:rPr>
                <w:rFonts w:ascii="Arial" w:hAnsi="Arial" w:cs="Arial"/>
                <w:sz w:val="24"/>
                <w:szCs w:val="24"/>
              </w:rPr>
              <w:t xml:space="preserve">Öğrenciler her ders için ara sınav, yarıyıl içi çalışma (proje, seminer, kısa sınav, ödev veya ikinci bir ara sınav) ve yarıyıl sonu sınavına tabi tutulurlar. </w:t>
            </w:r>
            <w:r w:rsidR="003A38B2" w:rsidRPr="00EC7980">
              <w:rPr>
                <w:rFonts w:ascii="Arial" w:hAnsi="Arial" w:cs="Arial"/>
                <w:sz w:val="24"/>
                <w:szCs w:val="24"/>
              </w:rPr>
              <w:t>Dersin</w:t>
            </w:r>
            <w:r w:rsidR="008E63E9" w:rsidRPr="00EC7980">
              <w:rPr>
                <w:rFonts w:ascii="Arial" w:hAnsi="Arial" w:cs="Arial"/>
                <w:sz w:val="24"/>
                <w:szCs w:val="24"/>
              </w:rPr>
              <w:t xml:space="preserve"> b</w:t>
            </w:r>
            <w:r w:rsidRPr="00EC7980">
              <w:rPr>
                <w:rFonts w:ascii="Arial" w:hAnsi="Arial" w:cs="Arial"/>
                <w:sz w:val="24"/>
                <w:szCs w:val="24"/>
              </w:rPr>
              <w:t>aşarı notuna ara sınavın katkısı %30, yarıyıl içi çalışmanın katkısı %20 ve yarıyıl sonu sınavının katkısı %50</w:t>
            </w:r>
            <w:r w:rsidR="0058792A" w:rsidRPr="00EC7980">
              <w:rPr>
                <w:rFonts w:ascii="Arial" w:hAnsi="Arial" w:cs="Arial"/>
                <w:sz w:val="24"/>
                <w:szCs w:val="24"/>
              </w:rPr>
              <w:t>’dir</w:t>
            </w:r>
            <w:r w:rsidRPr="00EC7980">
              <w:rPr>
                <w:rFonts w:ascii="Arial" w:hAnsi="Arial" w:cs="Arial"/>
                <w:sz w:val="24"/>
                <w:szCs w:val="24"/>
              </w:rPr>
              <w:t>. Tüm sınavlar 100 puan üzerinden değerlendirilir. Bir öğrencinin bir dersten başarılı sayılabilmesi için o dersten yarıyıl</w:t>
            </w:r>
            <w:r w:rsidR="008E63E9" w:rsidRPr="00EC7980">
              <w:rPr>
                <w:rFonts w:ascii="Arial" w:hAnsi="Arial" w:cs="Arial"/>
                <w:sz w:val="24"/>
                <w:szCs w:val="24"/>
              </w:rPr>
              <w:t xml:space="preserve"> sonu başarı </w:t>
            </w:r>
            <w:r w:rsidRPr="00EC7980">
              <w:rPr>
                <w:rFonts w:ascii="Arial" w:hAnsi="Arial" w:cs="Arial"/>
                <w:sz w:val="24"/>
                <w:szCs w:val="24"/>
              </w:rPr>
              <w:t xml:space="preserve">notu olarak en az </w:t>
            </w:r>
            <w:r w:rsidR="003A38B2" w:rsidRPr="00EC7980">
              <w:rPr>
                <w:rFonts w:ascii="Arial" w:hAnsi="Arial" w:cs="Arial"/>
                <w:sz w:val="24"/>
                <w:szCs w:val="24"/>
              </w:rPr>
              <w:t>“</w:t>
            </w:r>
            <w:r w:rsidRPr="00EC7980">
              <w:rPr>
                <w:rFonts w:ascii="Arial" w:hAnsi="Arial" w:cs="Arial"/>
                <w:sz w:val="24"/>
                <w:szCs w:val="24"/>
              </w:rPr>
              <w:t>BB</w:t>
            </w:r>
            <w:r w:rsidR="003A38B2" w:rsidRPr="00EC7980">
              <w:rPr>
                <w:rFonts w:ascii="Arial" w:hAnsi="Arial" w:cs="Arial"/>
                <w:sz w:val="24"/>
                <w:szCs w:val="24"/>
              </w:rPr>
              <w:t>”</w:t>
            </w:r>
            <w:r w:rsidRPr="00EC7980">
              <w:rPr>
                <w:rFonts w:ascii="Arial" w:hAnsi="Arial" w:cs="Arial"/>
                <w:sz w:val="24"/>
                <w:szCs w:val="24"/>
              </w:rPr>
              <w:t xml:space="preserve"> </w:t>
            </w:r>
            <w:r w:rsidR="007C54F0" w:rsidRPr="00EC7980">
              <w:rPr>
                <w:rFonts w:ascii="Arial" w:hAnsi="Arial" w:cs="Arial"/>
                <w:sz w:val="24"/>
                <w:szCs w:val="24"/>
              </w:rPr>
              <w:t xml:space="preserve">harf </w:t>
            </w:r>
            <w:r w:rsidRPr="00EC7980">
              <w:rPr>
                <w:rFonts w:ascii="Arial" w:hAnsi="Arial" w:cs="Arial"/>
                <w:sz w:val="24"/>
                <w:szCs w:val="24"/>
              </w:rPr>
              <w:t>notu almış olması gerekir.</w:t>
            </w:r>
          </w:p>
        </w:tc>
      </w:tr>
      <w:tr w:rsidR="00651614" w:rsidRPr="00EC7980" w14:paraId="436AB1FA" w14:textId="77777777" w:rsidTr="008B5E2A">
        <w:trPr>
          <w:trHeight w:val="150"/>
          <w:tblCellSpacing w:w="15" w:type="dxa"/>
        </w:trPr>
        <w:tc>
          <w:tcPr>
            <w:tcW w:w="10714" w:type="dxa"/>
            <w:vAlign w:val="center"/>
            <w:hideMark/>
          </w:tcPr>
          <w:p w14:paraId="1E24FB1F" w14:textId="41924113" w:rsidR="00651614" w:rsidRPr="00947878" w:rsidRDefault="00651614" w:rsidP="00C34513">
            <w:pPr>
              <w:spacing w:after="120" w:line="240" w:lineRule="auto"/>
              <w:ind w:right="147"/>
              <w:rPr>
                <w:rFonts w:ascii="Arial" w:hAnsi="Arial" w:cs="Arial"/>
                <w:b/>
                <w:bCs/>
                <w:sz w:val="28"/>
                <w:szCs w:val="28"/>
              </w:rPr>
            </w:pPr>
            <w:r w:rsidRPr="00947878">
              <w:rPr>
                <w:rFonts w:ascii="Arial" w:hAnsi="Arial" w:cs="Arial"/>
                <w:b/>
                <w:bCs/>
                <w:sz w:val="28"/>
                <w:szCs w:val="28"/>
              </w:rPr>
              <w:t>Mezuniyet Şartları</w:t>
            </w:r>
          </w:p>
          <w:p w14:paraId="0BC298C0" w14:textId="386B47FF" w:rsidR="002C7DFB" w:rsidRPr="00F6086F" w:rsidRDefault="00E76A30" w:rsidP="006249D7">
            <w:pPr>
              <w:spacing w:after="120" w:line="240" w:lineRule="auto"/>
              <w:ind w:left="76" w:right="147"/>
              <w:jc w:val="both"/>
              <w:rPr>
                <w:rFonts w:ascii="Arial" w:hAnsi="Arial" w:cs="Arial"/>
                <w:sz w:val="24"/>
                <w:szCs w:val="24"/>
                <w:highlight w:val="green"/>
              </w:rPr>
            </w:pPr>
            <w:r w:rsidRPr="00F6086F">
              <w:rPr>
                <w:rFonts w:ascii="Arial" w:hAnsi="Arial" w:cs="Arial"/>
                <w:sz w:val="24"/>
                <w:szCs w:val="24"/>
              </w:rPr>
              <w:t xml:space="preserve">Kazanılacak </w:t>
            </w:r>
            <w:r w:rsidR="00B72F63" w:rsidRPr="00F6086F">
              <w:rPr>
                <w:rFonts w:ascii="Arial" w:hAnsi="Arial" w:cs="Arial"/>
                <w:sz w:val="24"/>
                <w:szCs w:val="24"/>
              </w:rPr>
              <w:t>dereceye yönelik gereklilikler</w:t>
            </w:r>
            <w:r w:rsidR="002663AC">
              <w:rPr>
                <w:rFonts w:ascii="Arial" w:hAnsi="Arial" w:cs="Arial"/>
                <w:sz w:val="24"/>
                <w:szCs w:val="24"/>
              </w:rPr>
              <w:t>i</w:t>
            </w:r>
            <w:r w:rsidR="00B72F63" w:rsidRPr="00F6086F">
              <w:rPr>
                <w:rFonts w:ascii="Arial" w:hAnsi="Arial" w:cs="Arial"/>
                <w:sz w:val="24"/>
                <w:szCs w:val="24"/>
              </w:rPr>
              <w:t xml:space="preserve"> yerine gerine öğrencilerin mezun olabilmek için </w:t>
            </w:r>
            <w:r w:rsidRPr="00F6086F">
              <w:rPr>
                <w:rFonts w:ascii="Arial" w:hAnsi="Arial" w:cs="Arial"/>
                <w:sz w:val="24"/>
                <w:szCs w:val="24"/>
              </w:rPr>
              <w:t>Sağlık Bilimleri Enstitüsü “</w:t>
            </w:r>
            <w:hyperlink r:id="rId9" w:history="1">
              <w:r w:rsidRPr="00DA7092">
                <w:rPr>
                  <w:rStyle w:val="Kpr"/>
                  <w:rFonts w:ascii="Arial" w:hAnsi="Arial" w:cs="Arial"/>
                  <w:b/>
                  <w:bCs/>
                  <w:sz w:val="24"/>
                  <w:szCs w:val="24"/>
                </w:rPr>
                <w:t xml:space="preserve">Doktora Programı Öğrencilerinin Tezini Teslim Edebilme </w:t>
              </w:r>
              <w:proofErr w:type="spellStart"/>
              <w:r w:rsidRPr="00DA7092">
                <w:rPr>
                  <w:rStyle w:val="Kpr"/>
                  <w:rFonts w:ascii="Arial" w:hAnsi="Arial" w:cs="Arial"/>
                  <w:b/>
                  <w:bCs/>
                  <w:sz w:val="24"/>
                  <w:szCs w:val="24"/>
                </w:rPr>
                <w:t>Koşulları</w:t>
              </w:r>
            </w:hyperlink>
            <w:r w:rsidRPr="00F6086F">
              <w:rPr>
                <w:rFonts w:ascii="Arial" w:hAnsi="Arial" w:cs="Arial"/>
                <w:sz w:val="24"/>
                <w:szCs w:val="24"/>
              </w:rPr>
              <w:t>”n</w:t>
            </w:r>
            <w:r w:rsidR="002663AC">
              <w:rPr>
                <w:rFonts w:ascii="Arial" w:hAnsi="Arial" w:cs="Arial"/>
                <w:sz w:val="24"/>
                <w:szCs w:val="24"/>
              </w:rPr>
              <w:t>da</w:t>
            </w:r>
            <w:proofErr w:type="spellEnd"/>
            <w:r w:rsidR="002663AC">
              <w:rPr>
                <w:rFonts w:ascii="Arial" w:hAnsi="Arial" w:cs="Arial"/>
                <w:sz w:val="24"/>
                <w:szCs w:val="24"/>
              </w:rPr>
              <w:t xml:space="preserve"> belirtilen </w:t>
            </w:r>
            <w:r w:rsidR="00F9194C">
              <w:rPr>
                <w:rFonts w:ascii="Arial" w:hAnsi="Arial" w:cs="Arial"/>
                <w:sz w:val="24"/>
                <w:szCs w:val="24"/>
              </w:rPr>
              <w:t xml:space="preserve">yayın şartını </w:t>
            </w:r>
            <w:r w:rsidRPr="00F6086F">
              <w:rPr>
                <w:rFonts w:ascii="Arial" w:hAnsi="Arial" w:cs="Arial"/>
                <w:sz w:val="24"/>
                <w:szCs w:val="24"/>
              </w:rPr>
              <w:t xml:space="preserve">karşılaması gerekmektedir. </w:t>
            </w:r>
          </w:p>
        </w:tc>
      </w:tr>
      <w:tr w:rsidR="00651614" w:rsidRPr="00EC7980" w14:paraId="6D8123D5" w14:textId="77777777" w:rsidTr="008B5E2A">
        <w:trPr>
          <w:trHeight w:val="150"/>
          <w:tblCellSpacing w:w="15" w:type="dxa"/>
        </w:trPr>
        <w:tc>
          <w:tcPr>
            <w:tcW w:w="10714" w:type="dxa"/>
            <w:vAlign w:val="center"/>
            <w:hideMark/>
          </w:tcPr>
          <w:p w14:paraId="6F3A8E72" w14:textId="28419DA5" w:rsidR="00651614" w:rsidRPr="00947878" w:rsidRDefault="00651614" w:rsidP="00D74F6E">
            <w:pPr>
              <w:ind w:left="76" w:right="149"/>
              <w:rPr>
                <w:rFonts w:ascii="Arial" w:hAnsi="Arial" w:cs="Arial"/>
                <w:b/>
                <w:bCs/>
                <w:sz w:val="28"/>
                <w:szCs w:val="28"/>
              </w:rPr>
            </w:pPr>
            <w:r w:rsidRPr="00947878">
              <w:rPr>
                <w:rFonts w:ascii="Arial" w:hAnsi="Arial" w:cs="Arial"/>
                <w:b/>
                <w:bCs/>
                <w:sz w:val="28"/>
                <w:szCs w:val="28"/>
              </w:rPr>
              <w:t xml:space="preserve">Mezunların İstihdam </w:t>
            </w:r>
            <w:r w:rsidR="0027245B" w:rsidRPr="00947878">
              <w:rPr>
                <w:rFonts w:ascii="Arial" w:hAnsi="Arial" w:cs="Arial"/>
                <w:b/>
                <w:bCs/>
                <w:sz w:val="28"/>
                <w:szCs w:val="28"/>
              </w:rPr>
              <w:t>Alanları</w:t>
            </w:r>
          </w:p>
          <w:p w14:paraId="3477A852" w14:textId="68F737FC" w:rsidR="00651614" w:rsidRPr="00EC7980" w:rsidRDefault="00651614" w:rsidP="00D74F6E">
            <w:pPr>
              <w:ind w:left="76" w:right="149"/>
              <w:rPr>
                <w:rFonts w:ascii="Arial" w:hAnsi="Arial" w:cs="Arial"/>
                <w:sz w:val="24"/>
                <w:szCs w:val="24"/>
              </w:rPr>
            </w:pPr>
            <w:r w:rsidRPr="00EC7980">
              <w:rPr>
                <w:rFonts w:ascii="Arial" w:hAnsi="Arial" w:cs="Arial"/>
                <w:color w:val="FF0000"/>
                <w:sz w:val="24"/>
                <w:szCs w:val="24"/>
              </w:rPr>
              <w:t xml:space="preserve">Anabilim </w:t>
            </w:r>
            <w:r w:rsidR="00E85725" w:rsidRPr="00EC7980">
              <w:rPr>
                <w:rFonts w:ascii="Arial" w:hAnsi="Arial" w:cs="Arial"/>
                <w:color w:val="FF0000"/>
                <w:sz w:val="24"/>
                <w:szCs w:val="24"/>
              </w:rPr>
              <w:t>d</w:t>
            </w:r>
            <w:r w:rsidRPr="00EC7980">
              <w:rPr>
                <w:rFonts w:ascii="Arial" w:hAnsi="Arial" w:cs="Arial"/>
                <w:color w:val="FF0000"/>
                <w:sz w:val="24"/>
                <w:szCs w:val="24"/>
              </w:rPr>
              <w:t xml:space="preserve">alı </w:t>
            </w:r>
            <w:r w:rsidR="0027245B" w:rsidRPr="00EC7980">
              <w:rPr>
                <w:rFonts w:ascii="Arial" w:hAnsi="Arial" w:cs="Arial"/>
                <w:color w:val="FF0000"/>
                <w:sz w:val="24"/>
                <w:szCs w:val="24"/>
              </w:rPr>
              <w:t>t</w:t>
            </w:r>
            <w:r w:rsidRPr="00EC7980">
              <w:rPr>
                <w:rFonts w:ascii="Arial" w:hAnsi="Arial" w:cs="Arial"/>
                <w:color w:val="FF0000"/>
                <w:sz w:val="24"/>
                <w:szCs w:val="24"/>
              </w:rPr>
              <w:t xml:space="preserve">arafından </w:t>
            </w:r>
            <w:r w:rsidR="0027245B" w:rsidRPr="00EC7980">
              <w:rPr>
                <w:rFonts w:ascii="Arial" w:hAnsi="Arial" w:cs="Arial"/>
                <w:color w:val="FF0000"/>
                <w:sz w:val="24"/>
                <w:szCs w:val="24"/>
              </w:rPr>
              <w:t>d</w:t>
            </w:r>
            <w:r w:rsidRPr="00EC7980">
              <w:rPr>
                <w:rFonts w:ascii="Arial" w:hAnsi="Arial" w:cs="Arial"/>
                <w:color w:val="FF0000"/>
                <w:sz w:val="24"/>
                <w:szCs w:val="24"/>
              </w:rPr>
              <w:t>oldurulacak  </w:t>
            </w:r>
          </w:p>
        </w:tc>
      </w:tr>
      <w:tr w:rsidR="00651614" w:rsidRPr="00EC7980" w14:paraId="3F770731" w14:textId="77777777" w:rsidTr="008B5E2A">
        <w:trPr>
          <w:trHeight w:val="150"/>
          <w:tblCellSpacing w:w="15" w:type="dxa"/>
        </w:trPr>
        <w:tc>
          <w:tcPr>
            <w:tcW w:w="10714" w:type="dxa"/>
            <w:vAlign w:val="center"/>
            <w:hideMark/>
          </w:tcPr>
          <w:p w14:paraId="072C098C" w14:textId="23853A52" w:rsidR="00651614" w:rsidRPr="00EC7980" w:rsidRDefault="00651614" w:rsidP="00D74F6E">
            <w:pPr>
              <w:ind w:left="76" w:right="149"/>
              <w:rPr>
                <w:rFonts w:ascii="Arial" w:hAnsi="Arial" w:cs="Arial"/>
                <w:sz w:val="24"/>
                <w:szCs w:val="24"/>
              </w:rPr>
            </w:pPr>
            <w:r w:rsidRPr="00947878">
              <w:rPr>
                <w:rFonts w:ascii="Arial" w:hAnsi="Arial" w:cs="Arial"/>
                <w:b/>
                <w:bCs/>
                <w:sz w:val="28"/>
                <w:szCs w:val="28"/>
              </w:rPr>
              <w:t xml:space="preserve">İletişim Bilgileri </w:t>
            </w:r>
          </w:p>
        </w:tc>
      </w:tr>
      <w:tr w:rsidR="00651614" w:rsidRPr="00EC7980" w14:paraId="5DEDB66C" w14:textId="77777777" w:rsidTr="008B5E2A">
        <w:trPr>
          <w:trHeight w:val="507"/>
          <w:tblCellSpacing w:w="15" w:type="dxa"/>
        </w:trPr>
        <w:tc>
          <w:tcPr>
            <w:tcW w:w="10714" w:type="dxa"/>
            <w:vAlign w:val="center"/>
            <w:hideMark/>
          </w:tcPr>
          <w:p w14:paraId="545BB9A4" w14:textId="4189E06A" w:rsidR="00651614" w:rsidRPr="00EC7980" w:rsidRDefault="00651614" w:rsidP="00D74F6E">
            <w:pPr>
              <w:ind w:left="76" w:right="149"/>
              <w:rPr>
                <w:rFonts w:ascii="Arial" w:hAnsi="Arial" w:cs="Arial"/>
                <w:sz w:val="24"/>
                <w:szCs w:val="24"/>
              </w:rPr>
            </w:pPr>
            <w:r w:rsidRPr="00EC7980">
              <w:rPr>
                <w:rFonts w:ascii="Arial" w:hAnsi="Arial" w:cs="Arial"/>
                <w:b/>
                <w:bCs/>
                <w:sz w:val="24"/>
                <w:szCs w:val="24"/>
              </w:rPr>
              <w:t>Adresi:</w:t>
            </w:r>
            <w:r w:rsidR="00947878">
              <w:rPr>
                <w:rFonts w:ascii="Arial" w:hAnsi="Arial" w:cs="Arial"/>
                <w:b/>
                <w:bCs/>
                <w:sz w:val="24"/>
                <w:szCs w:val="24"/>
              </w:rPr>
              <w:t xml:space="preserve"> </w:t>
            </w:r>
            <w:r w:rsidR="00B90F8F" w:rsidRPr="00EC7980">
              <w:rPr>
                <w:rFonts w:ascii="Arial" w:hAnsi="Arial" w:cs="Arial"/>
                <w:sz w:val="24"/>
                <w:szCs w:val="24"/>
              </w:rPr>
              <w:t xml:space="preserve">Karadeniz Teknik Üniversitesi, Sağlık Bilimleri Enstitüsü, Tıbbi Biyoloji ABD, 61080 </w:t>
            </w:r>
            <w:proofErr w:type="spellStart"/>
            <w:r w:rsidR="00B90F8F" w:rsidRPr="00EC7980">
              <w:rPr>
                <w:rFonts w:ascii="Arial" w:hAnsi="Arial" w:cs="Arial"/>
                <w:sz w:val="24"/>
                <w:szCs w:val="24"/>
              </w:rPr>
              <w:t>Ortahisar</w:t>
            </w:r>
            <w:proofErr w:type="spellEnd"/>
            <w:r w:rsidR="00B90F8F" w:rsidRPr="00EC7980">
              <w:rPr>
                <w:rFonts w:ascii="Arial" w:hAnsi="Arial" w:cs="Arial"/>
                <w:sz w:val="24"/>
                <w:szCs w:val="24"/>
              </w:rPr>
              <w:t>-Trabzon</w:t>
            </w:r>
          </w:p>
        </w:tc>
      </w:tr>
      <w:tr w:rsidR="00651614" w:rsidRPr="00EC7980" w14:paraId="4E9782B1" w14:textId="77777777" w:rsidTr="008B5E2A">
        <w:trPr>
          <w:trHeight w:val="150"/>
          <w:tblCellSpacing w:w="15" w:type="dxa"/>
        </w:trPr>
        <w:tc>
          <w:tcPr>
            <w:tcW w:w="10714" w:type="dxa"/>
            <w:vAlign w:val="center"/>
            <w:hideMark/>
          </w:tcPr>
          <w:p w14:paraId="037C3204" w14:textId="4C4A3AE5" w:rsidR="00651614" w:rsidRPr="00EC7980" w:rsidRDefault="00651614" w:rsidP="00D74F6E">
            <w:pPr>
              <w:ind w:left="76" w:right="149"/>
              <w:rPr>
                <w:rFonts w:ascii="Arial" w:hAnsi="Arial" w:cs="Arial"/>
                <w:sz w:val="24"/>
                <w:szCs w:val="24"/>
              </w:rPr>
            </w:pPr>
            <w:r w:rsidRPr="00EC7980">
              <w:rPr>
                <w:rFonts w:ascii="Arial" w:hAnsi="Arial" w:cs="Arial"/>
                <w:sz w:val="24"/>
                <w:szCs w:val="24"/>
              </w:rPr>
              <w:t>Telefonu:</w:t>
            </w:r>
            <w:r w:rsidR="00947878">
              <w:rPr>
                <w:rFonts w:ascii="Arial" w:hAnsi="Arial" w:cs="Arial"/>
                <w:sz w:val="24"/>
                <w:szCs w:val="24"/>
              </w:rPr>
              <w:t xml:space="preserve"> </w:t>
            </w:r>
            <w:r w:rsidRPr="00EC7980">
              <w:rPr>
                <w:rFonts w:ascii="Arial" w:hAnsi="Arial" w:cs="Arial"/>
                <w:sz w:val="24"/>
                <w:szCs w:val="24"/>
              </w:rPr>
              <w:t>+90 462</w:t>
            </w:r>
          </w:p>
        </w:tc>
      </w:tr>
      <w:tr w:rsidR="00651614" w:rsidRPr="00EC7980" w14:paraId="604F9493" w14:textId="77777777" w:rsidTr="008B5E2A">
        <w:trPr>
          <w:trHeight w:val="150"/>
          <w:tblCellSpacing w:w="15" w:type="dxa"/>
        </w:trPr>
        <w:tc>
          <w:tcPr>
            <w:tcW w:w="10714" w:type="dxa"/>
            <w:vAlign w:val="center"/>
            <w:hideMark/>
          </w:tcPr>
          <w:p w14:paraId="257DA5D5" w14:textId="11F2EF3E" w:rsidR="00651614" w:rsidRPr="00EC7980" w:rsidRDefault="00651614" w:rsidP="00D74F6E">
            <w:pPr>
              <w:ind w:left="76" w:right="149"/>
              <w:rPr>
                <w:rFonts w:ascii="Arial" w:hAnsi="Arial" w:cs="Arial"/>
                <w:sz w:val="24"/>
                <w:szCs w:val="24"/>
              </w:rPr>
            </w:pPr>
            <w:r w:rsidRPr="00EC7980">
              <w:rPr>
                <w:rFonts w:ascii="Arial" w:hAnsi="Arial" w:cs="Arial"/>
                <w:sz w:val="24"/>
                <w:szCs w:val="24"/>
              </w:rPr>
              <w:t>Belgegeçer:</w:t>
            </w:r>
            <w:r w:rsidR="00947878">
              <w:rPr>
                <w:rFonts w:ascii="Arial" w:hAnsi="Arial" w:cs="Arial"/>
                <w:sz w:val="24"/>
                <w:szCs w:val="24"/>
              </w:rPr>
              <w:t xml:space="preserve"> </w:t>
            </w:r>
            <w:r w:rsidRPr="00EC7980">
              <w:rPr>
                <w:rFonts w:ascii="Arial" w:hAnsi="Arial" w:cs="Arial"/>
                <w:sz w:val="24"/>
                <w:szCs w:val="24"/>
              </w:rPr>
              <w:t>+90 462</w:t>
            </w:r>
          </w:p>
        </w:tc>
      </w:tr>
      <w:tr w:rsidR="00651614" w:rsidRPr="00EC7980" w14:paraId="703A3DEF" w14:textId="77777777" w:rsidTr="008B5E2A">
        <w:trPr>
          <w:trHeight w:val="150"/>
          <w:tblCellSpacing w:w="15" w:type="dxa"/>
        </w:trPr>
        <w:tc>
          <w:tcPr>
            <w:tcW w:w="10714" w:type="dxa"/>
            <w:vAlign w:val="center"/>
            <w:hideMark/>
          </w:tcPr>
          <w:p w14:paraId="6803AE15" w14:textId="7B91115D" w:rsidR="00651614" w:rsidRPr="00EC7980" w:rsidRDefault="00651614" w:rsidP="00D74F6E">
            <w:pPr>
              <w:ind w:left="76" w:right="149"/>
              <w:rPr>
                <w:rFonts w:ascii="Arial" w:hAnsi="Arial" w:cs="Arial"/>
                <w:sz w:val="24"/>
                <w:szCs w:val="24"/>
              </w:rPr>
            </w:pPr>
            <w:r w:rsidRPr="00EC7980">
              <w:rPr>
                <w:rFonts w:ascii="Arial" w:hAnsi="Arial" w:cs="Arial"/>
                <w:sz w:val="24"/>
                <w:szCs w:val="24"/>
              </w:rPr>
              <w:t>E-Posta:</w:t>
            </w:r>
            <w:r w:rsidR="00947878">
              <w:rPr>
                <w:rFonts w:ascii="Arial" w:hAnsi="Arial" w:cs="Arial"/>
                <w:sz w:val="24"/>
                <w:szCs w:val="24"/>
              </w:rPr>
              <w:t xml:space="preserve"> </w:t>
            </w:r>
          </w:p>
        </w:tc>
      </w:tr>
      <w:tr w:rsidR="00651614" w:rsidRPr="00EC7980" w14:paraId="569EDDD0" w14:textId="77777777" w:rsidTr="008B5E2A">
        <w:trPr>
          <w:trHeight w:val="150"/>
          <w:tblCellSpacing w:w="15" w:type="dxa"/>
        </w:trPr>
        <w:tc>
          <w:tcPr>
            <w:tcW w:w="10714" w:type="dxa"/>
            <w:vAlign w:val="center"/>
            <w:hideMark/>
          </w:tcPr>
          <w:p w14:paraId="0566DFA8" w14:textId="3F27F93B" w:rsidR="00651614" w:rsidRPr="00EC7980" w:rsidRDefault="00651614" w:rsidP="00D74F6E">
            <w:pPr>
              <w:ind w:left="76" w:right="149"/>
              <w:rPr>
                <w:rFonts w:ascii="Arial" w:hAnsi="Arial" w:cs="Arial"/>
                <w:sz w:val="24"/>
                <w:szCs w:val="24"/>
              </w:rPr>
            </w:pPr>
            <w:r w:rsidRPr="00EC7980">
              <w:rPr>
                <w:rFonts w:ascii="Arial" w:hAnsi="Arial" w:cs="Arial"/>
                <w:sz w:val="24"/>
                <w:szCs w:val="24"/>
              </w:rPr>
              <w:t>Web Adresi:</w:t>
            </w:r>
            <w:r w:rsidR="00947878">
              <w:rPr>
                <w:rFonts w:ascii="Arial" w:hAnsi="Arial" w:cs="Arial"/>
                <w:sz w:val="24"/>
                <w:szCs w:val="24"/>
              </w:rPr>
              <w:t xml:space="preserve"> </w:t>
            </w:r>
          </w:p>
        </w:tc>
      </w:tr>
      <w:tr w:rsidR="00651614" w:rsidRPr="00EC7980" w14:paraId="31A2B841" w14:textId="77777777" w:rsidTr="008B5E2A">
        <w:trPr>
          <w:trHeight w:val="150"/>
          <w:tblCellSpacing w:w="15" w:type="dxa"/>
        </w:trPr>
        <w:tc>
          <w:tcPr>
            <w:tcW w:w="10714" w:type="dxa"/>
            <w:vAlign w:val="center"/>
            <w:hideMark/>
          </w:tcPr>
          <w:p w14:paraId="681EA46E" w14:textId="77777777" w:rsidR="00651614" w:rsidRDefault="00A0641E" w:rsidP="00D74F6E">
            <w:pPr>
              <w:ind w:left="76" w:right="149"/>
              <w:rPr>
                <w:rFonts w:ascii="Arial" w:hAnsi="Arial" w:cs="Arial"/>
                <w:b/>
                <w:bCs/>
                <w:sz w:val="28"/>
                <w:szCs w:val="28"/>
              </w:rPr>
            </w:pPr>
            <w:r w:rsidRPr="00443979">
              <w:rPr>
                <w:rFonts w:ascii="Arial" w:hAnsi="Arial" w:cs="Arial"/>
                <w:b/>
                <w:bCs/>
                <w:sz w:val="28"/>
                <w:szCs w:val="28"/>
              </w:rPr>
              <w:t>Anabilim Dalı</w:t>
            </w:r>
            <w:r w:rsidR="00651614" w:rsidRPr="00443979">
              <w:rPr>
                <w:rFonts w:ascii="Arial" w:hAnsi="Arial" w:cs="Arial"/>
                <w:b/>
                <w:bCs/>
                <w:sz w:val="28"/>
                <w:szCs w:val="28"/>
              </w:rPr>
              <w:t xml:space="preserve"> Olanakları</w:t>
            </w:r>
          </w:p>
          <w:p w14:paraId="27B04DBB" w14:textId="7A96F6FC" w:rsidR="007825CF" w:rsidRPr="00443979" w:rsidRDefault="007825CF" w:rsidP="00D74F6E">
            <w:pPr>
              <w:ind w:left="76" w:right="149"/>
              <w:rPr>
                <w:rFonts w:ascii="Arial" w:hAnsi="Arial" w:cs="Arial"/>
                <w:b/>
                <w:bCs/>
                <w:sz w:val="24"/>
                <w:szCs w:val="24"/>
              </w:rPr>
            </w:pPr>
            <w:r w:rsidRPr="00EC7980">
              <w:rPr>
                <w:rFonts w:ascii="Arial" w:hAnsi="Arial" w:cs="Arial"/>
                <w:color w:val="FF0000"/>
                <w:sz w:val="24"/>
                <w:szCs w:val="24"/>
              </w:rPr>
              <w:t>Anabilim dalı tarafından doldurulacak  </w:t>
            </w:r>
          </w:p>
        </w:tc>
      </w:tr>
    </w:tbl>
    <w:p w14:paraId="35D274C5" w14:textId="77777777" w:rsidR="00651614" w:rsidRPr="00EC7980" w:rsidRDefault="00651614">
      <w:pPr>
        <w:rPr>
          <w:rFonts w:ascii="Arial" w:hAnsi="Arial" w:cs="Arial"/>
          <w:sz w:val="24"/>
          <w:szCs w:val="24"/>
        </w:rPr>
      </w:pPr>
    </w:p>
    <w:sectPr w:rsidR="00651614" w:rsidRPr="00EC7980" w:rsidSect="001E68A3">
      <w:headerReference w:type="default" r:id="rId10"/>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95548" w14:textId="77777777" w:rsidR="00FF489A" w:rsidRDefault="00FF489A" w:rsidP="001E68A3">
      <w:pPr>
        <w:spacing w:after="0" w:line="240" w:lineRule="auto"/>
      </w:pPr>
      <w:r>
        <w:separator/>
      </w:r>
    </w:p>
  </w:endnote>
  <w:endnote w:type="continuationSeparator" w:id="0">
    <w:p w14:paraId="01DC8335" w14:textId="77777777" w:rsidR="00FF489A" w:rsidRDefault="00FF489A" w:rsidP="001E6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5111D" w14:textId="77777777" w:rsidR="00FF489A" w:rsidRDefault="00FF489A" w:rsidP="001E68A3">
      <w:pPr>
        <w:spacing w:after="0" w:line="240" w:lineRule="auto"/>
      </w:pPr>
      <w:r>
        <w:separator/>
      </w:r>
    </w:p>
  </w:footnote>
  <w:footnote w:type="continuationSeparator" w:id="0">
    <w:p w14:paraId="4888FAF7" w14:textId="77777777" w:rsidR="00FF489A" w:rsidRDefault="00FF489A" w:rsidP="001E6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3E3F" w14:textId="68BDC268" w:rsidR="001E68A3" w:rsidRDefault="008B5E2A" w:rsidP="001E68A3">
    <w:pPr>
      <w:pStyle w:val="stBilgi"/>
      <w:jc w:val="center"/>
      <w:rPr>
        <w:rFonts w:ascii="Arial" w:hAnsi="Arial" w:cs="Arial"/>
        <w:b/>
        <w:bCs/>
        <w:sz w:val="24"/>
        <w:szCs w:val="24"/>
      </w:rPr>
    </w:pPr>
    <w:r w:rsidRPr="006C58B9">
      <w:rPr>
        <w:noProof/>
      </w:rPr>
      <w:drawing>
        <wp:anchor distT="0" distB="0" distL="114300" distR="114300" simplePos="0" relativeHeight="251659264" behindDoc="0" locked="0" layoutInCell="1" allowOverlap="1" wp14:anchorId="32E520A1" wp14:editId="5FC4FB8E">
          <wp:simplePos x="0" y="0"/>
          <wp:positionH relativeFrom="column">
            <wp:posOffset>5312229</wp:posOffset>
          </wp:positionH>
          <wp:positionV relativeFrom="paragraph">
            <wp:posOffset>-414473</wp:posOffset>
          </wp:positionV>
          <wp:extent cx="1049020" cy="427355"/>
          <wp:effectExtent l="0" t="0" r="0" b="0"/>
          <wp:wrapSquare wrapText="bothSides"/>
          <wp:docPr id="9" name="Resim 9" descr="metin içeren bir resim&#10;&#10;Açıklama otomatik olarak oluşturuldu">
            <a:extLst xmlns:a="http://schemas.openxmlformats.org/drawingml/2006/main">
              <a:ext uri="{FF2B5EF4-FFF2-40B4-BE49-F238E27FC236}">
                <a16:creationId xmlns:a16="http://schemas.microsoft.com/office/drawing/2014/main" id="{47574EA8-B1A1-4DCB-A066-E84EB1CEE3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6" descr="metin içeren bir resim&#10;&#10;Açıklama otomatik olarak oluşturuldu">
                    <a:extLst>
                      <a:ext uri="{FF2B5EF4-FFF2-40B4-BE49-F238E27FC236}">
                        <a16:creationId xmlns:a16="http://schemas.microsoft.com/office/drawing/2014/main" id="{47574EA8-B1A1-4DCB-A066-E84EB1CEE394}"/>
                      </a:ext>
                    </a:extLst>
                  </pic:cNvPr>
                  <pic:cNvPicPr>
                    <a:picLocks noChangeAspect="1"/>
                  </pic:cNvPicPr>
                </pic:nvPicPr>
                <pic:blipFill rotWithShape="1">
                  <a:blip r:embed="rId1">
                    <a:extLst>
                      <a:ext uri="{28A0092B-C50C-407E-A947-70E740481C1C}">
                        <a14:useLocalDpi xmlns:a14="http://schemas.microsoft.com/office/drawing/2010/main" val="0"/>
                      </a:ext>
                    </a:extLst>
                  </a:blip>
                  <a:srcRect l="16349" t="1062" r="8344" b="32397"/>
                  <a:stretch/>
                </pic:blipFill>
                <pic:spPr>
                  <a:xfrm>
                    <a:off x="0" y="0"/>
                    <a:ext cx="1049020" cy="427355"/>
                  </a:xfrm>
                  <a:prstGeom prst="rect">
                    <a:avLst/>
                  </a:prstGeom>
                </pic:spPr>
              </pic:pic>
            </a:graphicData>
          </a:graphic>
          <wp14:sizeRelH relativeFrom="margin">
            <wp14:pctWidth>0</wp14:pctWidth>
          </wp14:sizeRelH>
          <wp14:sizeRelV relativeFrom="margin">
            <wp14:pctHeight>0</wp14:pctHeight>
          </wp14:sizeRelV>
        </wp:anchor>
      </w:drawing>
    </w:r>
    <w:r w:rsidR="001E68A3">
      <w:rPr>
        <w:rFonts w:ascii="Arial" w:hAnsi="Arial" w:cs="Arial"/>
        <w:b/>
        <w:bCs/>
        <w:sz w:val="24"/>
        <w:szCs w:val="24"/>
      </w:rPr>
      <w:t>EK-</w:t>
    </w:r>
    <w:r w:rsidR="00097B1B">
      <w:rPr>
        <w:rFonts w:ascii="Arial" w:hAnsi="Arial" w:cs="Arial"/>
        <w:b/>
        <w:bCs/>
        <w:sz w:val="24"/>
        <w:szCs w:val="24"/>
      </w:rPr>
      <w:t>8</w:t>
    </w:r>
    <w:r w:rsidR="001E68A3">
      <w:rPr>
        <w:rFonts w:ascii="Arial" w:hAnsi="Arial" w:cs="Arial"/>
        <w:b/>
        <w:bCs/>
        <w:sz w:val="24"/>
        <w:szCs w:val="24"/>
      </w:rPr>
      <w:t>.2.1.1.</w:t>
    </w:r>
    <w:r w:rsidRPr="008B5E2A">
      <w:rPr>
        <w:noProof/>
      </w:rPr>
      <w:t xml:space="preserve"> </w:t>
    </w:r>
  </w:p>
  <w:p w14:paraId="7664D18A" w14:textId="77777777" w:rsidR="001E68A3" w:rsidRDefault="001E68A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5CCE"/>
    <w:multiLevelType w:val="hybridMultilevel"/>
    <w:tmpl w:val="20E08336"/>
    <w:lvl w:ilvl="0" w:tplc="4F2EF33E">
      <w:start w:val="1"/>
      <w:numFmt w:val="decimal"/>
      <w:lvlText w:val="%1."/>
      <w:lvlJc w:val="left"/>
      <w:pPr>
        <w:ind w:left="436" w:hanging="360"/>
      </w:pPr>
      <w:rPr>
        <w:rFonts w:hint="default"/>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 w15:restartNumberingAfterBreak="0">
    <w:nsid w:val="24BD26A2"/>
    <w:multiLevelType w:val="hybridMultilevel"/>
    <w:tmpl w:val="F0884A5A"/>
    <w:lvl w:ilvl="0" w:tplc="53704F56">
      <w:numFmt w:val="bullet"/>
      <w:lvlText w:val="-"/>
      <w:lvlJc w:val="left"/>
      <w:pPr>
        <w:ind w:left="434" w:hanging="360"/>
      </w:pPr>
      <w:rPr>
        <w:rFonts w:ascii="Arial" w:eastAsiaTheme="minorHAnsi" w:hAnsi="Arial" w:cs="Arial" w:hint="default"/>
      </w:rPr>
    </w:lvl>
    <w:lvl w:ilvl="1" w:tplc="041F0003">
      <w:start w:val="1"/>
      <w:numFmt w:val="bullet"/>
      <w:lvlText w:val="o"/>
      <w:lvlJc w:val="left"/>
      <w:pPr>
        <w:ind w:left="1154" w:hanging="360"/>
      </w:pPr>
      <w:rPr>
        <w:rFonts w:ascii="Courier New" w:hAnsi="Courier New" w:cs="Courier New" w:hint="default"/>
      </w:rPr>
    </w:lvl>
    <w:lvl w:ilvl="2" w:tplc="041F0005">
      <w:start w:val="1"/>
      <w:numFmt w:val="bullet"/>
      <w:lvlText w:val=""/>
      <w:lvlJc w:val="left"/>
      <w:pPr>
        <w:ind w:left="1874" w:hanging="360"/>
      </w:pPr>
      <w:rPr>
        <w:rFonts w:ascii="Wingdings" w:hAnsi="Wingdings" w:hint="default"/>
      </w:rPr>
    </w:lvl>
    <w:lvl w:ilvl="3" w:tplc="041F0001">
      <w:start w:val="1"/>
      <w:numFmt w:val="bullet"/>
      <w:lvlText w:val=""/>
      <w:lvlJc w:val="left"/>
      <w:pPr>
        <w:ind w:left="2594" w:hanging="360"/>
      </w:pPr>
      <w:rPr>
        <w:rFonts w:ascii="Symbol" w:hAnsi="Symbol" w:hint="default"/>
      </w:rPr>
    </w:lvl>
    <w:lvl w:ilvl="4" w:tplc="041F0003">
      <w:start w:val="1"/>
      <w:numFmt w:val="bullet"/>
      <w:lvlText w:val="o"/>
      <w:lvlJc w:val="left"/>
      <w:pPr>
        <w:ind w:left="3314" w:hanging="360"/>
      </w:pPr>
      <w:rPr>
        <w:rFonts w:ascii="Courier New" w:hAnsi="Courier New" w:cs="Courier New" w:hint="default"/>
      </w:rPr>
    </w:lvl>
    <w:lvl w:ilvl="5" w:tplc="041F0005">
      <w:start w:val="1"/>
      <w:numFmt w:val="bullet"/>
      <w:lvlText w:val=""/>
      <w:lvlJc w:val="left"/>
      <w:pPr>
        <w:ind w:left="4034" w:hanging="360"/>
      </w:pPr>
      <w:rPr>
        <w:rFonts w:ascii="Wingdings" w:hAnsi="Wingdings" w:hint="default"/>
      </w:rPr>
    </w:lvl>
    <w:lvl w:ilvl="6" w:tplc="041F0001">
      <w:start w:val="1"/>
      <w:numFmt w:val="bullet"/>
      <w:lvlText w:val=""/>
      <w:lvlJc w:val="left"/>
      <w:pPr>
        <w:ind w:left="4754" w:hanging="360"/>
      </w:pPr>
      <w:rPr>
        <w:rFonts w:ascii="Symbol" w:hAnsi="Symbol" w:hint="default"/>
      </w:rPr>
    </w:lvl>
    <w:lvl w:ilvl="7" w:tplc="041F0003">
      <w:start w:val="1"/>
      <w:numFmt w:val="bullet"/>
      <w:lvlText w:val="o"/>
      <w:lvlJc w:val="left"/>
      <w:pPr>
        <w:ind w:left="5474" w:hanging="360"/>
      </w:pPr>
      <w:rPr>
        <w:rFonts w:ascii="Courier New" w:hAnsi="Courier New" w:cs="Courier New" w:hint="default"/>
      </w:rPr>
    </w:lvl>
    <w:lvl w:ilvl="8" w:tplc="041F0005">
      <w:start w:val="1"/>
      <w:numFmt w:val="bullet"/>
      <w:lvlText w:val=""/>
      <w:lvlJc w:val="left"/>
      <w:pPr>
        <w:ind w:left="6194" w:hanging="360"/>
      </w:pPr>
      <w:rPr>
        <w:rFonts w:ascii="Wingdings" w:hAnsi="Wingdings" w:hint="default"/>
      </w:rPr>
    </w:lvl>
  </w:abstractNum>
  <w:abstractNum w:abstractNumId="2" w15:restartNumberingAfterBreak="0">
    <w:nsid w:val="33C65DB1"/>
    <w:multiLevelType w:val="hybridMultilevel"/>
    <w:tmpl w:val="4EDEF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583293D"/>
    <w:multiLevelType w:val="hybridMultilevel"/>
    <w:tmpl w:val="EED86FE0"/>
    <w:lvl w:ilvl="0" w:tplc="BDAC2932">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6A50A88"/>
    <w:multiLevelType w:val="hybridMultilevel"/>
    <w:tmpl w:val="A432AD1C"/>
    <w:lvl w:ilvl="0" w:tplc="6D5606D0">
      <w:numFmt w:val="bullet"/>
      <w:lvlText w:val="-"/>
      <w:lvlJc w:val="left"/>
      <w:pPr>
        <w:ind w:left="438" w:hanging="360"/>
      </w:pPr>
      <w:rPr>
        <w:rFonts w:ascii="Arial" w:eastAsiaTheme="minorHAnsi" w:hAnsi="Arial" w:cs="Arial" w:hint="default"/>
      </w:rPr>
    </w:lvl>
    <w:lvl w:ilvl="1" w:tplc="041F0003">
      <w:start w:val="1"/>
      <w:numFmt w:val="bullet"/>
      <w:lvlText w:val="o"/>
      <w:lvlJc w:val="left"/>
      <w:pPr>
        <w:ind w:left="1158" w:hanging="360"/>
      </w:pPr>
      <w:rPr>
        <w:rFonts w:ascii="Courier New" w:hAnsi="Courier New" w:cs="Courier New" w:hint="default"/>
      </w:rPr>
    </w:lvl>
    <w:lvl w:ilvl="2" w:tplc="041F0005">
      <w:start w:val="1"/>
      <w:numFmt w:val="bullet"/>
      <w:lvlText w:val=""/>
      <w:lvlJc w:val="left"/>
      <w:pPr>
        <w:ind w:left="1878" w:hanging="360"/>
      </w:pPr>
      <w:rPr>
        <w:rFonts w:ascii="Wingdings" w:hAnsi="Wingdings" w:hint="default"/>
      </w:rPr>
    </w:lvl>
    <w:lvl w:ilvl="3" w:tplc="041F0001">
      <w:start w:val="1"/>
      <w:numFmt w:val="bullet"/>
      <w:lvlText w:val=""/>
      <w:lvlJc w:val="left"/>
      <w:pPr>
        <w:ind w:left="2598" w:hanging="360"/>
      </w:pPr>
      <w:rPr>
        <w:rFonts w:ascii="Symbol" w:hAnsi="Symbol" w:hint="default"/>
      </w:rPr>
    </w:lvl>
    <w:lvl w:ilvl="4" w:tplc="041F0003">
      <w:start w:val="1"/>
      <w:numFmt w:val="bullet"/>
      <w:lvlText w:val="o"/>
      <w:lvlJc w:val="left"/>
      <w:pPr>
        <w:ind w:left="3318" w:hanging="360"/>
      </w:pPr>
      <w:rPr>
        <w:rFonts w:ascii="Courier New" w:hAnsi="Courier New" w:cs="Courier New" w:hint="default"/>
      </w:rPr>
    </w:lvl>
    <w:lvl w:ilvl="5" w:tplc="041F0005">
      <w:start w:val="1"/>
      <w:numFmt w:val="bullet"/>
      <w:lvlText w:val=""/>
      <w:lvlJc w:val="left"/>
      <w:pPr>
        <w:ind w:left="4038" w:hanging="360"/>
      </w:pPr>
      <w:rPr>
        <w:rFonts w:ascii="Wingdings" w:hAnsi="Wingdings" w:hint="default"/>
      </w:rPr>
    </w:lvl>
    <w:lvl w:ilvl="6" w:tplc="041F0001">
      <w:start w:val="1"/>
      <w:numFmt w:val="bullet"/>
      <w:lvlText w:val=""/>
      <w:lvlJc w:val="left"/>
      <w:pPr>
        <w:ind w:left="4758" w:hanging="360"/>
      </w:pPr>
      <w:rPr>
        <w:rFonts w:ascii="Symbol" w:hAnsi="Symbol" w:hint="default"/>
      </w:rPr>
    </w:lvl>
    <w:lvl w:ilvl="7" w:tplc="041F0003">
      <w:start w:val="1"/>
      <w:numFmt w:val="bullet"/>
      <w:lvlText w:val="o"/>
      <w:lvlJc w:val="left"/>
      <w:pPr>
        <w:ind w:left="5478" w:hanging="360"/>
      </w:pPr>
      <w:rPr>
        <w:rFonts w:ascii="Courier New" w:hAnsi="Courier New" w:cs="Courier New" w:hint="default"/>
      </w:rPr>
    </w:lvl>
    <w:lvl w:ilvl="8" w:tplc="041F0005">
      <w:start w:val="1"/>
      <w:numFmt w:val="bullet"/>
      <w:lvlText w:val=""/>
      <w:lvlJc w:val="left"/>
      <w:pPr>
        <w:ind w:left="6198" w:hanging="360"/>
      </w:pPr>
      <w:rPr>
        <w:rFonts w:ascii="Wingdings" w:hAnsi="Wingdings" w:hint="default"/>
      </w:rPr>
    </w:lvl>
  </w:abstractNum>
  <w:abstractNum w:abstractNumId="5" w15:restartNumberingAfterBreak="0">
    <w:nsid w:val="6ACA2131"/>
    <w:multiLevelType w:val="hybridMultilevel"/>
    <w:tmpl w:val="F878E0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6AD200E"/>
    <w:multiLevelType w:val="hybridMultilevel"/>
    <w:tmpl w:val="F6E8DD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38035360">
    <w:abstractNumId w:val="5"/>
  </w:num>
  <w:num w:numId="2" w16cid:durableId="2062049851">
    <w:abstractNumId w:val="6"/>
  </w:num>
  <w:num w:numId="3" w16cid:durableId="1762337921">
    <w:abstractNumId w:val="0"/>
  </w:num>
  <w:num w:numId="4" w16cid:durableId="499195800">
    <w:abstractNumId w:val="2"/>
  </w:num>
  <w:num w:numId="5" w16cid:durableId="1652782968">
    <w:abstractNumId w:val="3"/>
  </w:num>
  <w:num w:numId="6" w16cid:durableId="1820270759">
    <w:abstractNumId w:val="1"/>
  </w:num>
  <w:num w:numId="7" w16cid:durableId="227501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BD3"/>
    <w:rsid w:val="00012BE8"/>
    <w:rsid w:val="000215BD"/>
    <w:rsid w:val="0002182F"/>
    <w:rsid w:val="00026674"/>
    <w:rsid w:val="00026885"/>
    <w:rsid w:val="0003038D"/>
    <w:rsid w:val="00036C8C"/>
    <w:rsid w:val="00045516"/>
    <w:rsid w:val="0007164E"/>
    <w:rsid w:val="00097B1B"/>
    <w:rsid w:val="000A529D"/>
    <w:rsid w:val="000A597E"/>
    <w:rsid w:val="000C071B"/>
    <w:rsid w:val="000C076D"/>
    <w:rsid w:val="000D7F78"/>
    <w:rsid w:val="000F2BF0"/>
    <w:rsid w:val="00112219"/>
    <w:rsid w:val="00127C82"/>
    <w:rsid w:val="00127F7D"/>
    <w:rsid w:val="00135E69"/>
    <w:rsid w:val="00141C21"/>
    <w:rsid w:val="00163E1C"/>
    <w:rsid w:val="00172AFE"/>
    <w:rsid w:val="00174BB4"/>
    <w:rsid w:val="00191BFD"/>
    <w:rsid w:val="00195E9F"/>
    <w:rsid w:val="001B6301"/>
    <w:rsid w:val="001C0F65"/>
    <w:rsid w:val="001C702B"/>
    <w:rsid w:val="001D0A3C"/>
    <w:rsid w:val="001E68A3"/>
    <w:rsid w:val="00204F18"/>
    <w:rsid w:val="0020522E"/>
    <w:rsid w:val="002121E5"/>
    <w:rsid w:val="0023681F"/>
    <w:rsid w:val="00261A0A"/>
    <w:rsid w:val="0026490E"/>
    <w:rsid w:val="002663AC"/>
    <w:rsid w:val="0027245B"/>
    <w:rsid w:val="00276853"/>
    <w:rsid w:val="002874EF"/>
    <w:rsid w:val="002A01F2"/>
    <w:rsid w:val="002A1A78"/>
    <w:rsid w:val="002B4D3B"/>
    <w:rsid w:val="002C4EFA"/>
    <w:rsid w:val="002C53F1"/>
    <w:rsid w:val="002C5F60"/>
    <w:rsid w:val="002C7DFB"/>
    <w:rsid w:val="002D6B69"/>
    <w:rsid w:val="002F655B"/>
    <w:rsid w:val="002F7D7C"/>
    <w:rsid w:val="003043B0"/>
    <w:rsid w:val="00316D5C"/>
    <w:rsid w:val="00322D9C"/>
    <w:rsid w:val="00332B98"/>
    <w:rsid w:val="00341941"/>
    <w:rsid w:val="0034242F"/>
    <w:rsid w:val="00362944"/>
    <w:rsid w:val="00363A0C"/>
    <w:rsid w:val="003A18A3"/>
    <w:rsid w:val="003A38B2"/>
    <w:rsid w:val="003B0BE4"/>
    <w:rsid w:val="003B13E4"/>
    <w:rsid w:val="003B15E7"/>
    <w:rsid w:val="003B1C28"/>
    <w:rsid w:val="003D6520"/>
    <w:rsid w:val="003E2099"/>
    <w:rsid w:val="003F759F"/>
    <w:rsid w:val="00423737"/>
    <w:rsid w:val="00443979"/>
    <w:rsid w:val="00473B89"/>
    <w:rsid w:val="004747C0"/>
    <w:rsid w:val="00476F84"/>
    <w:rsid w:val="0048467E"/>
    <w:rsid w:val="00484E3E"/>
    <w:rsid w:val="00494952"/>
    <w:rsid w:val="00496B45"/>
    <w:rsid w:val="004B5804"/>
    <w:rsid w:val="004C4DFB"/>
    <w:rsid w:val="004D5E3D"/>
    <w:rsid w:val="004E3412"/>
    <w:rsid w:val="004E571D"/>
    <w:rsid w:val="004F6AF4"/>
    <w:rsid w:val="00514497"/>
    <w:rsid w:val="005326F4"/>
    <w:rsid w:val="00565B83"/>
    <w:rsid w:val="00575137"/>
    <w:rsid w:val="00580743"/>
    <w:rsid w:val="00583714"/>
    <w:rsid w:val="0058792A"/>
    <w:rsid w:val="005A32B0"/>
    <w:rsid w:val="005B7393"/>
    <w:rsid w:val="005C5805"/>
    <w:rsid w:val="005D756E"/>
    <w:rsid w:val="005E1E58"/>
    <w:rsid w:val="005E3D5E"/>
    <w:rsid w:val="005F7A20"/>
    <w:rsid w:val="006249D7"/>
    <w:rsid w:val="006300DC"/>
    <w:rsid w:val="00651614"/>
    <w:rsid w:val="00670088"/>
    <w:rsid w:val="0068595A"/>
    <w:rsid w:val="00692ACD"/>
    <w:rsid w:val="006C073E"/>
    <w:rsid w:val="006D5F8C"/>
    <w:rsid w:val="00714E43"/>
    <w:rsid w:val="00743EBE"/>
    <w:rsid w:val="0074425C"/>
    <w:rsid w:val="00746814"/>
    <w:rsid w:val="007564B4"/>
    <w:rsid w:val="007723E9"/>
    <w:rsid w:val="007765C5"/>
    <w:rsid w:val="0077760F"/>
    <w:rsid w:val="007825CF"/>
    <w:rsid w:val="007872E1"/>
    <w:rsid w:val="0079146E"/>
    <w:rsid w:val="007A71E8"/>
    <w:rsid w:val="007C100E"/>
    <w:rsid w:val="007C54F0"/>
    <w:rsid w:val="007D2CA6"/>
    <w:rsid w:val="007E5DB2"/>
    <w:rsid w:val="007F22A1"/>
    <w:rsid w:val="007F5A32"/>
    <w:rsid w:val="008004C5"/>
    <w:rsid w:val="0080652B"/>
    <w:rsid w:val="008159DE"/>
    <w:rsid w:val="00830CAE"/>
    <w:rsid w:val="0083494D"/>
    <w:rsid w:val="0086128B"/>
    <w:rsid w:val="0087535C"/>
    <w:rsid w:val="00876324"/>
    <w:rsid w:val="008A147C"/>
    <w:rsid w:val="008A272C"/>
    <w:rsid w:val="008A2888"/>
    <w:rsid w:val="008A4401"/>
    <w:rsid w:val="008B59DE"/>
    <w:rsid w:val="008B5E2A"/>
    <w:rsid w:val="008C275F"/>
    <w:rsid w:val="008C3708"/>
    <w:rsid w:val="008C50B5"/>
    <w:rsid w:val="008E148C"/>
    <w:rsid w:val="008E18C7"/>
    <w:rsid w:val="008E63E9"/>
    <w:rsid w:val="00917264"/>
    <w:rsid w:val="009430D4"/>
    <w:rsid w:val="00947878"/>
    <w:rsid w:val="009505C7"/>
    <w:rsid w:val="00956666"/>
    <w:rsid w:val="00985B3B"/>
    <w:rsid w:val="009874AD"/>
    <w:rsid w:val="00987977"/>
    <w:rsid w:val="009932C4"/>
    <w:rsid w:val="009C5489"/>
    <w:rsid w:val="009D1203"/>
    <w:rsid w:val="009E7643"/>
    <w:rsid w:val="00A00788"/>
    <w:rsid w:val="00A0641E"/>
    <w:rsid w:val="00A078DF"/>
    <w:rsid w:val="00A202F6"/>
    <w:rsid w:val="00A22F36"/>
    <w:rsid w:val="00A24AB3"/>
    <w:rsid w:val="00A24EF5"/>
    <w:rsid w:val="00A25A3A"/>
    <w:rsid w:val="00A34C12"/>
    <w:rsid w:val="00A4283F"/>
    <w:rsid w:val="00AC0EA9"/>
    <w:rsid w:val="00AD0A78"/>
    <w:rsid w:val="00AD36D6"/>
    <w:rsid w:val="00AE47C9"/>
    <w:rsid w:val="00AF5DDC"/>
    <w:rsid w:val="00B069A5"/>
    <w:rsid w:val="00B205C3"/>
    <w:rsid w:val="00B24E47"/>
    <w:rsid w:val="00B45C4F"/>
    <w:rsid w:val="00B52EEC"/>
    <w:rsid w:val="00B6032C"/>
    <w:rsid w:val="00B636B1"/>
    <w:rsid w:val="00B72F63"/>
    <w:rsid w:val="00B82B8C"/>
    <w:rsid w:val="00B90F8F"/>
    <w:rsid w:val="00BB66DC"/>
    <w:rsid w:val="00BC343B"/>
    <w:rsid w:val="00BC7586"/>
    <w:rsid w:val="00BD4BD3"/>
    <w:rsid w:val="00BD6A7E"/>
    <w:rsid w:val="00BF621A"/>
    <w:rsid w:val="00C147A7"/>
    <w:rsid w:val="00C213A7"/>
    <w:rsid w:val="00C229B0"/>
    <w:rsid w:val="00C34513"/>
    <w:rsid w:val="00C6311F"/>
    <w:rsid w:val="00C64464"/>
    <w:rsid w:val="00C8160A"/>
    <w:rsid w:val="00C875F4"/>
    <w:rsid w:val="00CC0B14"/>
    <w:rsid w:val="00CD650F"/>
    <w:rsid w:val="00CE223D"/>
    <w:rsid w:val="00CF2431"/>
    <w:rsid w:val="00D051F4"/>
    <w:rsid w:val="00D372DB"/>
    <w:rsid w:val="00D5761B"/>
    <w:rsid w:val="00D75632"/>
    <w:rsid w:val="00D80A3D"/>
    <w:rsid w:val="00D827CE"/>
    <w:rsid w:val="00D848CF"/>
    <w:rsid w:val="00D84F3A"/>
    <w:rsid w:val="00DA0747"/>
    <w:rsid w:val="00DA7092"/>
    <w:rsid w:val="00DB0847"/>
    <w:rsid w:val="00DC70D4"/>
    <w:rsid w:val="00DE0EC9"/>
    <w:rsid w:val="00E214E7"/>
    <w:rsid w:val="00E30B59"/>
    <w:rsid w:val="00E374D9"/>
    <w:rsid w:val="00E55C43"/>
    <w:rsid w:val="00E71885"/>
    <w:rsid w:val="00E76A30"/>
    <w:rsid w:val="00E8032B"/>
    <w:rsid w:val="00E85725"/>
    <w:rsid w:val="00E9228F"/>
    <w:rsid w:val="00EB5277"/>
    <w:rsid w:val="00EB54C1"/>
    <w:rsid w:val="00EC4185"/>
    <w:rsid w:val="00EC7980"/>
    <w:rsid w:val="00ED2731"/>
    <w:rsid w:val="00EE30B4"/>
    <w:rsid w:val="00EF786A"/>
    <w:rsid w:val="00F13ED3"/>
    <w:rsid w:val="00F14F02"/>
    <w:rsid w:val="00F16235"/>
    <w:rsid w:val="00F32975"/>
    <w:rsid w:val="00F36422"/>
    <w:rsid w:val="00F374B9"/>
    <w:rsid w:val="00F41C78"/>
    <w:rsid w:val="00F42764"/>
    <w:rsid w:val="00F46310"/>
    <w:rsid w:val="00F6086F"/>
    <w:rsid w:val="00F67DD9"/>
    <w:rsid w:val="00F82EB0"/>
    <w:rsid w:val="00F83BBC"/>
    <w:rsid w:val="00F9194C"/>
    <w:rsid w:val="00F92B08"/>
    <w:rsid w:val="00FA5F8A"/>
    <w:rsid w:val="00FB06F7"/>
    <w:rsid w:val="00FB2FB7"/>
    <w:rsid w:val="00FB7E19"/>
    <w:rsid w:val="00FC3A3B"/>
    <w:rsid w:val="00FC4BA4"/>
    <w:rsid w:val="00FF48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565B3"/>
  <w15:chartTrackingRefBased/>
  <w15:docId w15:val="{7E5CFC7F-4CBA-4917-A631-4DF0B235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52EEC"/>
    <w:rPr>
      <w:color w:val="0563C1" w:themeColor="hyperlink"/>
      <w:u w:val="single"/>
    </w:rPr>
  </w:style>
  <w:style w:type="character" w:styleId="zmlenmeyenBahsetme">
    <w:name w:val="Unresolved Mention"/>
    <w:basedOn w:val="VarsaylanParagrafYazTipi"/>
    <w:uiPriority w:val="99"/>
    <w:semiHidden/>
    <w:unhideWhenUsed/>
    <w:rsid w:val="00B52EEC"/>
    <w:rPr>
      <w:color w:val="605E5C"/>
      <w:shd w:val="clear" w:color="auto" w:fill="E1DFDD"/>
    </w:rPr>
  </w:style>
  <w:style w:type="paragraph" w:styleId="ListeParagraf">
    <w:name w:val="List Paragraph"/>
    <w:basedOn w:val="Normal"/>
    <w:uiPriority w:val="34"/>
    <w:qFormat/>
    <w:rsid w:val="0087535C"/>
    <w:pPr>
      <w:ind w:left="720"/>
      <w:contextualSpacing/>
    </w:pPr>
  </w:style>
  <w:style w:type="character" w:styleId="zlenenKpr">
    <w:name w:val="FollowedHyperlink"/>
    <w:basedOn w:val="VarsaylanParagrafYazTipi"/>
    <w:uiPriority w:val="99"/>
    <w:semiHidden/>
    <w:unhideWhenUsed/>
    <w:rsid w:val="00CD650F"/>
    <w:rPr>
      <w:color w:val="954F72" w:themeColor="followedHyperlink"/>
      <w:u w:val="single"/>
    </w:rPr>
  </w:style>
  <w:style w:type="paragraph" w:styleId="stBilgi">
    <w:name w:val="header"/>
    <w:basedOn w:val="Normal"/>
    <w:link w:val="stBilgiChar"/>
    <w:uiPriority w:val="99"/>
    <w:unhideWhenUsed/>
    <w:rsid w:val="001E68A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E68A3"/>
  </w:style>
  <w:style w:type="paragraph" w:styleId="AltBilgi">
    <w:name w:val="footer"/>
    <w:basedOn w:val="Normal"/>
    <w:link w:val="AltBilgiChar"/>
    <w:uiPriority w:val="99"/>
    <w:unhideWhenUsed/>
    <w:rsid w:val="001E68A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E6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75384">
      <w:bodyDiv w:val="1"/>
      <w:marLeft w:val="0"/>
      <w:marRight w:val="0"/>
      <w:marTop w:val="0"/>
      <w:marBottom w:val="0"/>
      <w:divBdr>
        <w:top w:val="none" w:sz="0" w:space="0" w:color="auto"/>
        <w:left w:val="none" w:sz="0" w:space="0" w:color="auto"/>
        <w:bottom w:val="none" w:sz="0" w:space="0" w:color="auto"/>
        <w:right w:val="none" w:sz="0" w:space="0" w:color="auto"/>
      </w:divBdr>
    </w:div>
    <w:div w:id="665549755">
      <w:bodyDiv w:val="1"/>
      <w:marLeft w:val="0"/>
      <w:marRight w:val="0"/>
      <w:marTop w:val="0"/>
      <w:marBottom w:val="0"/>
      <w:divBdr>
        <w:top w:val="none" w:sz="0" w:space="0" w:color="auto"/>
        <w:left w:val="none" w:sz="0" w:space="0" w:color="auto"/>
        <w:bottom w:val="none" w:sz="0" w:space="0" w:color="auto"/>
        <w:right w:val="none" w:sz="0" w:space="0" w:color="auto"/>
      </w:divBdr>
    </w:div>
    <w:div w:id="1431701966">
      <w:bodyDiv w:val="1"/>
      <w:marLeft w:val="0"/>
      <w:marRight w:val="0"/>
      <w:marTop w:val="0"/>
      <w:marBottom w:val="0"/>
      <w:divBdr>
        <w:top w:val="none" w:sz="0" w:space="0" w:color="auto"/>
        <w:left w:val="none" w:sz="0" w:space="0" w:color="auto"/>
        <w:bottom w:val="none" w:sz="0" w:space="0" w:color="auto"/>
        <w:right w:val="none" w:sz="0" w:space="0" w:color="auto"/>
      </w:divBdr>
    </w:div>
    <w:div w:id="1592930535">
      <w:bodyDiv w:val="1"/>
      <w:marLeft w:val="0"/>
      <w:marRight w:val="0"/>
      <w:marTop w:val="0"/>
      <w:marBottom w:val="0"/>
      <w:divBdr>
        <w:top w:val="none" w:sz="0" w:space="0" w:color="auto"/>
        <w:left w:val="none" w:sz="0" w:space="0" w:color="auto"/>
        <w:bottom w:val="none" w:sz="0" w:space="0" w:color="auto"/>
        <w:right w:val="none" w:sz="0" w:space="0" w:color="auto"/>
      </w:divBdr>
    </w:div>
    <w:div w:id="196805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tu.edu.tr/dosyalar/sabe_bd6b9.pdf" TargetMode="External"/><Relationship Id="rId3" Type="http://schemas.openxmlformats.org/officeDocument/2006/relationships/settings" Target="settings.xml"/><Relationship Id="rId7" Type="http://schemas.openxmlformats.org/officeDocument/2006/relationships/hyperlink" Target="https://www.ktu.edu.tr/dosyalar/sabe_a3c46.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ktu.edu.tr/dosyalar/sabe_78dd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691</TotalTime>
  <Pages>3</Pages>
  <Words>785</Words>
  <Characters>4477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ERSAN KALAY</dc:creator>
  <cp:keywords/>
  <dc:description/>
  <cp:lastModifiedBy>ERSAN KALAY</cp:lastModifiedBy>
  <cp:revision>78</cp:revision>
  <dcterms:created xsi:type="dcterms:W3CDTF">2021-10-14T05:54:00Z</dcterms:created>
  <dcterms:modified xsi:type="dcterms:W3CDTF">2022-06-21T08:23:00Z</dcterms:modified>
</cp:coreProperties>
</file>